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0AF8F">
      <w:pPr>
        <w:jc w:val="center"/>
        <w:rPr>
          <w:rFonts w:ascii="方正小标宋简体" w:eastAsia="方正小标宋简体"/>
          <w:color w:val="auto"/>
          <w:sz w:val="44"/>
          <w:szCs w:val="44"/>
        </w:rPr>
      </w:pPr>
      <w:r>
        <w:rPr>
          <w:rFonts w:hint="eastAsia" w:ascii="方正小标宋简体" w:eastAsia="方正小标宋简体"/>
          <w:color w:val="auto"/>
          <w:sz w:val="44"/>
          <w:szCs w:val="44"/>
        </w:rPr>
        <w:t>成都市锦江区</w:t>
      </w:r>
      <w:r>
        <w:rPr>
          <w:rFonts w:hint="eastAsia" w:ascii="方正小标宋简体" w:eastAsia="方正小标宋简体"/>
          <w:color w:val="auto"/>
          <w:sz w:val="44"/>
          <w:szCs w:val="44"/>
          <w:lang w:eastAsia="zh-CN"/>
        </w:rPr>
        <w:t>三圣</w:t>
      </w:r>
      <w:r>
        <w:rPr>
          <w:rFonts w:hint="eastAsia" w:ascii="方正小标宋简体" w:eastAsia="方正小标宋简体"/>
          <w:color w:val="auto"/>
          <w:sz w:val="44"/>
          <w:szCs w:val="44"/>
        </w:rPr>
        <w:t>社区卫生服务中心</w:t>
      </w:r>
    </w:p>
    <w:p w14:paraId="2C1E0152">
      <w:pPr>
        <w:jc w:val="center"/>
        <w:rPr>
          <w:rFonts w:hint="eastAsia" w:ascii="方正小标宋简体" w:eastAsia="方正小标宋简体"/>
          <w:color w:val="auto"/>
          <w:sz w:val="44"/>
          <w:szCs w:val="44"/>
          <w:lang w:eastAsia="zh-CN"/>
        </w:rPr>
      </w:pPr>
      <w:r>
        <w:rPr>
          <w:rFonts w:hint="eastAsia" w:ascii="方正小标宋简体" w:eastAsia="方正小标宋简体"/>
          <w:color w:val="auto"/>
          <w:sz w:val="44"/>
          <w:szCs w:val="44"/>
          <w:lang w:val="en-US" w:eastAsia="zh-CN"/>
        </w:rPr>
        <w:t>公卫</w:t>
      </w:r>
      <w:r>
        <w:rPr>
          <w:rFonts w:hint="eastAsia" w:ascii="方正小标宋简体" w:eastAsia="方正小标宋简体"/>
          <w:color w:val="auto"/>
          <w:sz w:val="44"/>
          <w:szCs w:val="44"/>
        </w:rPr>
        <w:t>重点人群</w:t>
      </w:r>
      <w:r>
        <w:rPr>
          <w:rFonts w:hint="eastAsia" w:ascii="方正小标宋简体" w:eastAsia="方正小标宋简体"/>
          <w:color w:val="auto"/>
          <w:sz w:val="44"/>
          <w:szCs w:val="44"/>
          <w:lang w:val="en-US" w:eastAsia="zh-CN"/>
        </w:rPr>
        <w:t>智能</w:t>
      </w:r>
      <w:r>
        <w:rPr>
          <w:rFonts w:hint="eastAsia" w:ascii="方正小标宋简体" w:eastAsia="方正小标宋简体"/>
          <w:color w:val="auto"/>
          <w:sz w:val="44"/>
          <w:szCs w:val="44"/>
        </w:rPr>
        <w:t>管理系统</w:t>
      </w:r>
    </w:p>
    <w:p w14:paraId="5E35685F">
      <w:pPr>
        <w:jc w:val="center"/>
        <w:rPr>
          <w:rFonts w:ascii="方正小标宋简体" w:eastAsia="方正小标宋简体"/>
          <w:color w:val="auto"/>
          <w:sz w:val="44"/>
          <w:szCs w:val="44"/>
        </w:rPr>
      </w:pPr>
      <w:r>
        <w:rPr>
          <w:rFonts w:hint="eastAsia" w:ascii="方正小标宋简体" w:eastAsia="方正小标宋简体"/>
          <w:color w:val="auto"/>
          <w:sz w:val="44"/>
          <w:szCs w:val="44"/>
        </w:rPr>
        <w:t>采购项目</w:t>
      </w:r>
    </w:p>
    <w:p w14:paraId="68C8E56F">
      <w:pPr>
        <w:jc w:val="center"/>
        <w:rPr>
          <w:color w:val="auto"/>
        </w:rPr>
      </w:pPr>
    </w:p>
    <w:p w14:paraId="7C28D8B4">
      <w:pPr>
        <w:jc w:val="center"/>
        <w:rPr>
          <w:color w:val="auto"/>
        </w:rPr>
      </w:pPr>
    </w:p>
    <w:p w14:paraId="20092B59">
      <w:pPr>
        <w:jc w:val="center"/>
        <w:rPr>
          <w:color w:val="auto"/>
        </w:rPr>
      </w:pPr>
    </w:p>
    <w:p w14:paraId="34E194C0">
      <w:pPr>
        <w:jc w:val="center"/>
        <w:rPr>
          <w:color w:val="auto"/>
        </w:rPr>
      </w:pPr>
    </w:p>
    <w:p w14:paraId="1744070F">
      <w:pPr>
        <w:jc w:val="center"/>
        <w:rPr>
          <w:color w:val="auto"/>
        </w:rPr>
      </w:pPr>
    </w:p>
    <w:p w14:paraId="4C6BD365">
      <w:pPr>
        <w:jc w:val="center"/>
        <w:rPr>
          <w:color w:val="auto"/>
        </w:rPr>
      </w:pPr>
    </w:p>
    <w:p w14:paraId="403378DC">
      <w:pPr>
        <w:jc w:val="center"/>
        <w:rPr>
          <w:color w:val="auto"/>
        </w:rPr>
      </w:pPr>
    </w:p>
    <w:p w14:paraId="2BD04E0A">
      <w:pPr>
        <w:jc w:val="center"/>
        <w:rPr>
          <w:color w:val="auto"/>
        </w:rPr>
      </w:pPr>
    </w:p>
    <w:p w14:paraId="4FBCE6D1">
      <w:pPr>
        <w:jc w:val="center"/>
        <w:rPr>
          <w:color w:val="auto"/>
        </w:rPr>
      </w:pPr>
    </w:p>
    <w:p w14:paraId="4122C7B2">
      <w:pPr>
        <w:jc w:val="center"/>
        <w:rPr>
          <w:rFonts w:ascii="方正小标宋简体" w:eastAsia="方正小标宋简体"/>
          <w:color w:val="auto"/>
          <w:sz w:val="52"/>
          <w:szCs w:val="52"/>
        </w:rPr>
      </w:pPr>
      <w:r>
        <w:rPr>
          <w:rFonts w:hint="eastAsia" w:ascii="方正小标宋简体" w:eastAsia="方正小标宋简体"/>
          <w:color w:val="auto"/>
          <w:sz w:val="52"/>
          <w:szCs w:val="52"/>
          <w:lang w:val="en-US" w:eastAsia="zh-CN"/>
        </w:rPr>
        <w:t>采购</w:t>
      </w:r>
      <w:r>
        <w:rPr>
          <w:rFonts w:hint="eastAsia" w:ascii="方正小标宋简体" w:eastAsia="方正小标宋简体"/>
          <w:color w:val="auto"/>
          <w:sz w:val="52"/>
          <w:szCs w:val="52"/>
        </w:rPr>
        <w:t>文件</w:t>
      </w:r>
    </w:p>
    <w:p w14:paraId="10621828">
      <w:pPr>
        <w:jc w:val="center"/>
        <w:rPr>
          <w:rFonts w:ascii="方正小标宋简体" w:eastAsia="方正小标宋简体"/>
          <w:color w:val="auto"/>
          <w:sz w:val="30"/>
          <w:szCs w:val="30"/>
        </w:rPr>
      </w:pPr>
    </w:p>
    <w:p w14:paraId="39969019">
      <w:pPr>
        <w:jc w:val="center"/>
        <w:rPr>
          <w:rFonts w:ascii="方正小标宋简体" w:eastAsia="方正小标宋简体"/>
          <w:color w:val="auto"/>
          <w:sz w:val="30"/>
          <w:szCs w:val="30"/>
        </w:rPr>
      </w:pPr>
    </w:p>
    <w:p w14:paraId="1A94E7DA">
      <w:pPr>
        <w:rPr>
          <w:rFonts w:ascii="方正小标宋简体" w:eastAsia="方正小标宋简体"/>
          <w:color w:val="auto"/>
          <w:sz w:val="30"/>
          <w:szCs w:val="30"/>
        </w:rPr>
      </w:pPr>
    </w:p>
    <w:p w14:paraId="0F601DD8">
      <w:pPr>
        <w:jc w:val="center"/>
        <w:rPr>
          <w:rFonts w:ascii="方正小标宋简体" w:eastAsia="方正小标宋简体"/>
          <w:color w:val="auto"/>
          <w:sz w:val="30"/>
          <w:szCs w:val="30"/>
        </w:rPr>
      </w:pPr>
    </w:p>
    <w:p w14:paraId="5F7F54E3">
      <w:pPr>
        <w:rPr>
          <w:rFonts w:ascii="方正小标宋简体" w:eastAsia="方正小标宋简体"/>
          <w:color w:val="auto"/>
          <w:sz w:val="30"/>
          <w:szCs w:val="30"/>
        </w:rPr>
      </w:pPr>
    </w:p>
    <w:p w14:paraId="0E0E84F9">
      <w:pPr>
        <w:tabs>
          <w:tab w:val="left" w:pos="3360"/>
          <w:tab w:val="left" w:pos="3580"/>
          <w:tab w:val="left" w:pos="3780"/>
        </w:tabs>
        <w:spacing w:line="360" w:lineRule="auto"/>
        <w:jc w:val="left"/>
        <w:outlineLvl w:val="5"/>
        <w:rPr>
          <w:rFonts w:ascii="方正黑体简体" w:hAnsi="宋体" w:eastAsia="方正黑体简体" w:cs="宋体"/>
          <w:color w:val="auto"/>
          <w:sz w:val="30"/>
          <w:szCs w:val="30"/>
          <w:u w:val="single"/>
        </w:rPr>
      </w:pPr>
      <w:r>
        <w:rPr>
          <w:rFonts w:hint="eastAsia" w:ascii="方正黑体简体" w:hAnsi="宋体" w:eastAsia="方正黑体简体" w:cs="宋体"/>
          <w:color w:val="auto"/>
          <w:sz w:val="30"/>
          <w:szCs w:val="30"/>
        </w:rPr>
        <w:t>采购人：</w:t>
      </w:r>
      <w:r>
        <w:rPr>
          <w:rFonts w:hint="eastAsia" w:ascii="方正黑体简体" w:hAnsi="宋体" w:eastAsia="方正黑体简体" w:cs="宋体"/>
          <w:color w:val="auto"/>
          <w:sz w:val="30"/>
          <w:szCs w:val="30"/>
          <w:u w:val="single"/>
        </w:rPr>
        <w:t>成都市锦江区</w:t>
      </w:r>
      <w:r>
        <w:rPr>
          <w:rFonts w:hint="eastAsia" w:ascii="方正黑体简体" w:hAnsi="宋体" w:eastAsia="方正黑体简体" w:cs="宋体"/>
          <w:color w:val="auto"/>
          <w:sz w:val="30"/>
          <w:szCs w:val="30"/>
          <w:u w:val="single"/>
          <w:lang w:eastAsia="zh-CN"/>
        </w:rPr>
        <w:t>三圣</w:t>
      </w:r>
      <w:r>
        <w:rPr>
          <w:rFonts w:hint="eastAsia" w:ascii="方正黑体简体" w:hAnsi="宋体" w:eastAsia="方正黑体简体" w:cs="宋体"/>
          <w:color w:val="auto"/>
          <w:sz w:val="30"/>
          <w:szCs w:val="30"/>
          <w:u w:val="single"/>
        </w:rPr>
        <w:t>社区卫生服务中心</w:t>
      </w:r>
    </w:p>
    <w:p w14:paraId="01ADC01A">
      <w:pPr>
        <w:tabs>
          <w:tab w:val="left" w:pos="3360"/>
          <w:tab w:val="left" w:pos="3580"/>
          <w:tab w:val="left" w:pos="3780"/>
        </w:tabs>
        <w:spacing w:line="360" w:lineRule="auto"/>
        <w:jc w:val="left"/>
        <w:outlineLvl w:val="5"/>
        <w:rPr>
          <w:rFonts w:ascii="方正黑体简体" w:hAnsi="宋体" w:eastAsia="方正黑体简体" w:cs="宋体"/>
          <w:color w:val="auto"/>
          <w:sz w:val="30"/>
          <w:szCs w:val="30"/>
          <w:u w:val="single"/>
        </w:rPr>
      </w:pPr>
      <w:r>
        <w:rPr>
          <w:rFonts w:hint="eastAsia" w:ascii="方正黑体简体" w:hAnsi="宋体" w:eastAsia="方正黑体简体" w:cs="宋体"/>
          <w:color w:val="auto"/>
          <w:sz w:val="30"/>
          <w:szCs w:val="30"/>
        </w:rPr>
        <w:t>项目编号：</w:t>
      </w:r>
      <w:r>
        <w:rPr>
          <w:rFonts w:hint="eastAsia" w:ascii="方正黑体简体" w:hAnsi="宋体" w:eastAsia="方正黑体简体" w:cs="宋体"/>
          <w:color w:val="auto"/>
          <w:sz w:val="30"/>
          <w:szCs w:val="30"/>
          <w:u w:val="single"/>
          <w:lang w:val="en-US" w:eastAsia="zh-CN"/>
        </w:rPr>
        <w:t>ss</w:t>
      </w:r>
      <w:r>
        <w:rPr>
          <w:rFonts w:hint="eastAsia" w:ascii="方正黑体简体" w:hAnsi="宋体" w:eastAsia="方正黑体简体" w:cs="宋体"/>
          <w:color w:val="auto"/>
          <w:sz w:val="30"/>
          <w:szCs w:val="30"/>
          <w:u w:val="single"/>
        </w:rPr>
        <w:t>sqcg-202</w:t>
      </w:r>
      <w:r>
        <w:rPr>
          <w:rFonts w:hint="eastAsia" w:ascii="方正黑体简体" w:hAnsi="宋体" w:eastAsia="方正黑体简体" w:cs="宋体"/>
          <w:color w:val="auto"/>
          <w:sz w:val="30"/>
          <w:szCs w:val="30"/>
          <w:u w:val="single"/>
          <w:lang w:val="en-US" w:eastAsia="zh-CN"/>
        </w:rPr>
        <w:t>6</w:t>
      </w:r>
      <w:r>
        <w:rPr>
          <w:rFonts w:hint="eastAsia" w:ascii="方正黑体简体" w:hAnsi="宋体" w:eastAsia="方正黑体简体" w:cs="宋体"/>
          <w:color w:val="auto"/>
          <w:sz w:val="30"/>
          <w:szCs w:val="30"/>
          <w:u w:val="single"/>
        </w:rPr>
        <w:t>01</w:t>
      </w:r>
    </w:p>
    <w:p w14:paraId="7D8D0331">
      <w:pPr>
        <w:tabs>
          <w:tab w:val="left" w:pos="3360"/>
          <w:tab w:val="left" w:pos="3580"/>
          <w:tab w:val="left" w:pos="3780"/>
        </w:tabs>
        <w:spacing w:line="360" w:lineRule="auto"/>
        <w:jc w:val="left"/>
        <w:outlineLvl w:val="5"/>
        <w:rPr>
          <w:rFonts w:ascii="方正黑体简体" w:hAnsi="宋体" w:eastAsia="方正黑体简体" w:cs="宋体"/>
          <w:color w:val="auto"/>
          <w:sz w:val="30"/>
          <w:szCs w:val="30"/>
        </w:rPr>
      </w:pPr>
    </w:p>
    <w:p w14:paraId="67815D31">
      <w:pPr>
        <w:tabs>
          <w:tab w:val="left" w:pos="3360"/>
          <w:tab w:val="left" w:pos="3580"/>
          <w:tab w:val="left" w:pos="3780"/>
        </w:tabs>
        <w:spacing w:line="360" w:lineRule="auto"/>
        <w:jc w:val="center"/>
        <w:outlineLvl w:val="5"/>
        <w:rPr>
          <w:rFonts w:ascii="方正黑体简体" w:hAnsi="宋体" w:eastAsia="方正黑体简体" w:cs="宋体"/>
          <w:color w:val="auto"/>
          <w:sz w:val="30"/>
          <w:szCs w:val="30"/>
        </w:rPr>
      </w:pPr>
      <w:r>
        <w:rPr>
          <w:rFonts w:hint="eastAsia" w:ascii="方正黑体简体" w:hAnsi="宋体" w:eastAsia="方正黑体简体" w:cs="宋体"/>
          <w:color w:val="auto"/>
          <w:sz w:val="30"/>
          <w:szCs w:val="30"/>
        </w:rPr>
        <w:t>202</w:t>
      </w:r>
      <w:r>
        <w:rPr>
          <w:rFonts w:hint="eastAsia" w:ascii="方正黑体简体" w:hAnsi="宋体" w:eastAsia="方正黑体简体" w:cs="宋体"/>
          <w:color w:val="auto"/>
          <w:sz w:val="30"/>
          <w:szCs w:val="30"/>
          <w:lang w:val="en-US" w:eastAsia="zh-CN"/>
        </w:rPr>
        <w:t>6</w:t>
      </w:r>
      <w:r>
        <w:rPr>
          <w:rFonts w:hint="eastAsia" w:ascii="方正黑体简体" w:hAnsi="宋体" w:eastAsia="方正黑体简体" w:cs="宋体"/>
          <w:color w:val="auto"/>
          <w:sz w:val="30"/>
          <w:szCs w:val="30"/>
        </w:rPr>
        <w:t>年</w:t>
      </w:r>
      <w:r>
        <w:rPr>
          <w:rFonts w:hint="eastAsia" w:ascii="方正黑体简体" w:hAnsi="宋体" w:eastAsia="方正黑体简体" w:cs="宋体"/>
          <w:color w:val="auto"/>
          <w:sz w:val="30"/>
          <w:szCs w:val="30"/>
          <w:lang w:val="en-US" w:eastAsia="zh-CN"/>
        </w:rPr>
        <w:t>2</w:t>
      </w:r>
      <w:r>
        <w:rPr>
          <w:rFonts w:hint="eastAsia" w:ascii="方正黑体简体" w:hAnsi="宋体" w:eastAsia="方正黑体简体" w:cs="宋体"/>
          <w:color w:val="auto"/>
          <w:sz w:val="30"/>
          <w:szCs w:val="30"/>
        </w:rPr>
        <w:t>月</w:t>
      </w:r>
      <w:r>
        <w:rPr>
          <w:rFonts w:hint="eastAsia" w:ascii="方正黑体简体" w:hAnsi="宋体" w:eastAsia="方正黑体简体" w:cs="宋体"/>
          <w:color w:val="auto"/>
          <w:sz w:val="30"/>
          <w:szCs w:val="30"/>
          <w:lang w:val="en-US" w:eastAsia="zh-CN"/>
        </w:rPr>
        <w:t>4</w:t>
      </w:r>
      <w:r>
        <w:rPr>
          <w:rFonts w:hint="eastAsia" w:ascii="方正黑体简体" w:hAnsi="宋体" w:eastAsia="方正黑体简体" w:cs="宋体"/>
          <w:color w:val="auto"/>
          <w:sz w:val="30"/>
          <w:szCs w:val="30"/>
        </w:rPr>
        <w:t>日</w:t>
      </w:r>
    </w:p>
    <w:p w14:paraId="7E32844D">
      <w:pPr>
        <w:jc w:val="center"/>
        <w:rPr>
          <w:rFonts w:ascii="宋体" w:hAnsi="宋体" w:eastAsia="宋体"/>
          <w:b/>
          <w:color w:val="auto"/>
          <w:sz w:val="28"/>
          <w:szCs w:val="28"/>
        </w:rPr>
      </w:pPr>
      <w:r>
        <w:rPr>
          <w:rFonts w:hint="eastAsia" w:ascii="宋体" w:hAnsi="宋体" w:eastAsia="宋体"/>
          <w:b/>
          <w:color w:val="auto"/>
          <w:sz w:val="28"/>
          <w:szCs w:val="28"/>
        </w:rPr>
        <w:t>第一章  投标邀请</w:t>
      </w:r>
    </w:p>
    <w:p w14:paraId="42C312F3">
      <w:pPr>
        <w:keepNext w:val="0"/>
        <w:keepLines w:val="0"/>
        <w:pageBreakBefore w:val="0"/>
        <w:widowControl w:val="0"/>
        <w:kinsoku/>
        <w:overflowPunct/>
        <w:topLinePunct w:val="0"/>
        <w:autoSpaceDE/>
        <w:autoSpaceDN/>
        <w:bidi w:val="0"/>
        <w:adjustRightInd w:val="0"/>
        <w:snapToGrid w:val="0"/>
        <w:spacing w:line="240" w:lineRule="auto"/>
        <w:ind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中心为</w:t>
      </w:r>
      <w:r>
        <w:rPr>
          <w:rFonts w:hint="eastAsia" w:asciiTheme="minorEastAsia" w:hAnsiTheme="minorEastAsia" w:cstheme="minorEastAsia"/>
          <w:color w:val="auto"/>
          <w:sz w:val="28"/>
          <w:szCs w:val="28"/>
          <w:lang w:eastAsia="zh-CN"/>
        </w:rPr>
        <w:t>三圣</w:t>
      </w:r>
      <w:r>
        <w:rPr>
          <w:rFonts w:hint="eastAsia" w:asciiTheme="minorEastAsia" w:hAnsiTheme="minorEastAsia" w:eastAsiaTheme="minorEastAsia" w:cstheme="minorEastAsia"/>
          <w:color w:val="auto"/>
          <w:sz w:val="28"/>
          <w:szCs w:val="28"/>
        </w:rPr>
        <w:t>街道辖区人口提供国家基本公共卫生服务工作需要，拟采购</w:t>
      </w:r>
      <w:r>
        <w:rPr>
          <w:rFonts w:hint="eastAsia" w:asciiTheme="minorEastAsia" w:hAnsiTheme="minorEastAsia" w:cstheme="minorEastAsia"/>
          <w:color w:val="auto"/>
          <w:sz w:val="28"/>
          <w:szCs w:val="28"/>
          <w:lang w:eastAsia="zh-CN"/>
        </w:rPr>
        <w:t>公卫重点人群智能管理系统</w:t>
      </w:r>
      <w:r>
        <w:rPr>
          <w:rFonts w:hint="eastAsia" w:asciiTheme="minorEastAsia" w:hAnsiTheme="minorEastAsia" w:eastAsiaTheme="minorEastAsia" w:cstheme="minorEastAsia"/>
          <w:color w:val="auto"/>
          <w:sz w:val="28"/>
          <w:szCs w:val="28"/>
        </w:rPr>
        <w:t>服务。我中心拟采用低价中标比价的方式采购，诚邀请符合资质要求的供应商在本公告有效期内到通过我中心采购管理平台报名下载采购文件并在规定时间内上传比价文件。</w:t>
      </w:r>
    </w:p>
    <w:p w14:paraId="010F8BFF">
      <w:pPr>
        <w:keepNext w:val="0"/>
        <w:keepLines w:val="0"/>
        <w:pageBreakBefore w:val="0"/>
        <w:widowControl w:val="0"/>
        <w:kinsoku/>
        <w:overflowPunct/>
        <w:topLinePunct w:val="0"/>
        <w:autoSpaceDE/>
        <w:autoSpaceDN/>
        <w:bidi w:val="0"/>
        <w:adjustRightInd w:val="0"/>
        <w:snapToGrid w:val="0"/>
        <w:spacing w:line="240" w:lineRule="auto"/>
        <w:ind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一、招标编号：</w:t>
      </w:r>
      <w:r>
        <w:rPr>
          <w:rFonts w:hint="eastAsia" w:asciiTheme="minorEastAsia" w:hAnsiTheme="minorEastAsia" w:cstheme="minorEastAsia"/>
          <w:color w:val="auto"/>
          <w:sz w:val="28"/>
          <w:szCs w:val="28"/>
          <w:lang w:eastAsia="zh-CN"/>
        </w:rPr>
        <w:t>sssqcg</w:t>
      </w:r>
      <w:r>
        <w:rPr>
          <w:rFonts w:hint="eastAsia" w:asciiTheme="minorEastAsia" w:hAnsiTheme="minorEastAsia" w:eastAsiaTheme="minorEastAsia" w:cstheme="minorEastAsia"/>
          <w:color w:val="auto"/>
          <w:sz w:val="28"/>
          <w:szCs w:val="28"/>
        </w:rPr>
        <w:t>-202</w:t>
      </w:r>
      <w:r>
        <w:rPr>
          <w:rFonts w:hint="eastAsia" w:asciiTheme="minorEastAsia" w:hAnsi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01</w:t>
      </w:r>
    </w:p>
    <w:p w14:paraId="0C94D645">
      <w:pPr>
        <w:keepNext w:val="0"/>
        <w:keepLines w:val="0"/>
        <w:pageBreakBefore w:val="0"/>
        <w:widowControl w:val="0"/>
        <w:kinsoku/>
        <w:overflowPunct/>
        <w:topLinePunct w:val="0"/>
        <w:autoSpaceDE/>
        <w:autoSpaceDN/>
        <w:bidi w:val="0"/>
        <w:adjustRightInd w:val="0"/>
        <w:snapToGrid w:val="0"/>
        <w:spacing w:line="240" w:lineRule="auto"/>
        <w:ind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二、招标项目：成都市锦江区</w:t>
      </w:r>
      <w:r>
        <w:rPr>
          <w:rFonts w:hint="eastAsia" w:asciiTheme="minorEastAsia" w:hAnsiTheme="minorEastAsia" w:cstheme="minorEastAsia"/>
          <w:color w:val="auto"/>
          <w:sz w:val="28"/>
          <w:szCs w:val="28"/>
          <w:lang w:eastAsia="zh-CN"/>
        </w:rPr>
        <w:t>三圣</w:t>
      </w:r>
      <w:r>
        <w:rPr>
          <w:rFonts w:hint="eastAsia" w:asciiTheme="minorEastAsia" w:hAnsiTheme="minorEastAsia" w:eastAsiaTheme="minorEastAsia" w:cstheme="minorEastAsia"/>
          <w:color w:val="auto"/>
          <w:sz w:val="28"/>
          <w:szCs w:val="28"/>
        </w:rPr>
        <w:t>社区卫生服务中心</w:t>
      </w:r>
      <w:r>
        <w:rPr>
          <w:rFonts w:hint="eastAsia" w:asciiTheme="minorEastAsia" w:hAnsiTheme="minorEastAsia" w:cstheme="minorEastAsia"/>
          <w:color w:val="auto"/>
          <w:sz w:val="28"/>
          <w:szCs w:val="28"/>
          <w:lang w:eastAsia="zh-CN"/>
        </w:rPr>
        <w:t>公卫重点人群智能管理系统</w:t>
      </w:r>
      <w:r>
        <w:rPr>
          <w:rFonts w:hint="eastAsia" w:asciiTheme="minorEastAsia" w:hAnsiTheme="minorEastAsia" w:eastAsiaTheme="minorEastAsia" w:cstheme="minorEastAsia"/>
          <w:color w:val="auto"/>
          <w:sz w:val="28"/>
          <w:szCs w:val="28"/>
        </w:rPr>
        <w:t>服务采购项目</w:t>
      </w:r>
    </w:p>
    <w:p w14:paraId="2EF39CF1">
      <w:pPr>
        <w:keepNext w:val="0"/>
        <w:keepLines w:val="0"/>
        <w:pageBreakBefore w:val="0"/>
        <w:widowControl w:val="0"/>
        <w:kinsoku/>
        <w:overflowPunct/>
        <w:topLinePunct w:val="0"/>
        <w:autoSpaceDE/>
        <w:autoSpaceDN/>
        <w:bidi w:val="0"/>
        <w:adjustRightInd w:val="0"/>
        <w:snapToGrid w:val="0"/>
        <w:spacing w:line="240" w:lineRule="auto"/>
        <w:ind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三、资金来源：自筹资金。</w:t>
      </w:r>
    </w:p>
    <w:p w14:paraId="1381B1E6">
      <w:pPr>
        <w:keepNext w:val="0"/>
        <w:keepLines w:val="0"/>
        <w:pageBreakBefore w:val="0"/>
        <w:widowControl w:val="0"/>
        <w:kinsoku/>
        <w:overflowPunct/>
        <w:topLinePunct w:val="0"/>
        <w:autoSpaceDE/>
        <w:autoSpaceDN/>
        <w:bidi w:val="0"/>
        <w:adjustRightInd w:val="0"/>
        <w:snapToGrid w:val="0"/>
        <w:spacing w:line="240" w:lineRule="auto"/>
        <w:ind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四、招标项目简介：本项目共1个包，（详见采购文件）</w:t>
      </w:r>
    </w:p>
    <w:p w14:paraId="1100AD0E">
      <w:pPr>
        <w:keepNext w:val="0"/>
        <w:keepLines w:val="0"/>
        <w:pageBreakBefore w:val="0"/>
        <w:widowControl w:val="0"/>
        <w:kinsoku/>
        <w:overflowPunct/>
        <w:topLinePunct w:val="0"/>
        <w:autoSpaceDE/>
        <w:autoSpaceDN/>
        <w:bidi w:val="0"/>
        <w:adjustRightInd w:val="0"/>
        <w:snapToGrid w:val="0"/>
        <w:spacing w:line="240" w:lineRule="auto"/>
        <w:ind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五、供应商参加本次采购活动，应当在提交比价文件前具备下列条件：</w:t>
      </w:r>
    </w:p>
    <w:p w14:paraId="27D08042">
      <w:pPr>
        <w:keepNext w:val="0"/>
        <w:keepLines w:val="0"/>
        <w:pageBreakBefore w:val="0"/>
        <w:widowControl w:val="0"/>
        <w:kinsoku/>
        <w:overflowPunct/>
        <w:topLinePunct w:val="0"/>
        <w:autoSpaceDE/>
        <w:autoSpaceDN/>
        <w:bidi w:val="0"/>
        <w:adjustRightInd w:val="0"/>
        <w:snapToGrid w:val="0"/>
        <w:spacing w:line="240" w:lineRule="auto"/>
        <w:ind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1.投标人应具备《中华人民共和国政府采购法》第二十二条规定的下列条件：</w:t>
      </w:r>
    </w:p>
    <w:p w14:paraId="41B52A60">
      <w:pPr>
        <w:keepNext w:val="0"/>
        <w:keepLines w:val="0"/>
        <w:pageBreakBefore w:val="0"/>
        <w:widowControl w:val="0"/>
        <w:kinsoku/>
        <w:overflowPunct/>
        <w:topLinePunct w:val="0"/>
        <w:autoSpaceDE/>
        <w:autoSpaceDN/>
        <w:bidi w:val="0"/>
        <w:adjustRightInd w:val="0"/>
        <w:snapToGrid w:val="0"/>
        <w:spacing w:line="240" w:lineRule="auto"/>
        <w:ind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1.1具有独立承担民事责任的能力；</w:t>
      </w:r>
    </w:p>
    <w:p w14:paraId="66210C88">
      <w:pPr>
        <w:keepNext w:val="0"/>
        <w:keepLines w:val="0"/>
        <w:pageBreakBefore w:val="0"/>
        <w:widowControl w:val="0"/>
        <w:kinsoku/>
        <w:overflowPunct/>
        <w:topLinePunct w:val="0"/>
        <w:autoSpaceDE/>
        <w:autoSpaceDN/>
        <w:bidi w:val="0"/>
        <w:adjustRightInd w:val="0"/>
        <w:snapToGrid w:val="0"/>
        <w:spacing w:line="240" w:lineRule="auto"/>
        <w:ind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1.2具有良好的商业信誉和健全的财务会计制度；</w:t>
      </w:r>
    </w:p>
    <w:p w14:paraId="23827B51">
      <w:pPr>
        <w:keepNext w:val="0"/>
        <w:keepLines w:val="0"/>
        <w:pageBreakBefore w:val="0"/>
        <w:widowControl w:val="0"/>
        <w:kinsoku/>
        <w:overflowPunct/>
        <w:topLinePunct w:val="0"/>
        <w:autoSpaceDE/>
        <w:autoSpaceDN/>
        <w:bidi w:val="0"/>
        <w:adjustRightInd w:val="0"/>
        <w:snapToGrid w:val="0"/>
        <w:spacing w:line="240" w:lineRule="auto"/>
        <w:ind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1.3具有履行合同所必须的设备和专业技术能力；</w:t>
      </w:r>
    </w:p>
    <w:p w14:paraId="234A8529">
      <w:pPr>
        <w:keepNext w:val="0"/>
        <w:keepLines w:val="0"/>
        <w:pageBreakBefore w:val="0"/>
        <w:widowControl w:val="0"/>
        <w:kinsoku/>
        <w:overflowPunct/>
        <w:topLinePunct w:val="0"/>
        <w:autoSpaceDE/>
        <w:autoSpaceDN/>
        <w:bidi w:val="0"/>
        <w:adjustRightInd w:val="0"/>
        <w:snapToGrid w:val="0"/>
        <w:spacing w:line="240" w:lineRule="auto"/>
        <w:ind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1.4具有依法缴纳税收和社会保障资金的良好记录；</w:t>
      </w:r>
    </w:p>
    <w:p w14:paraId="2D0FE611">
      <w:pPr>
        <w:keepNext w:val="0"/>
        <w:keepLines w:val="0"/>
        <w:pageBreakBefore w:val="0"/>
        <w:widowControl w:val="0"/>
        <w:kinsoku/>
        <w:overflowPunct/>
        <w:topLinePunct w:val="0"/>
        <w:autoSpaceDE/>
        <w:autoSpaceDN/>
        <w:bidi w:val="0"/>
        <w:adjustRightInd w:val="0"/>
        <w:snapToGrid w:val="0"/>
        <w:spacing w:line="240" w:lineRule="auto"/>
        <w:ind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1.5参加政府采购活动前三年内，在经营活动中没有重大违法违规记录；</w:t>
      </w:r>
    </w:p>
    <w:p w14:paraId="42EEDADE">
      <w:pPr>
        <w:keepNext w:val="0"/>
        <w:keepLines w:val="0"/>
        <w:pageBreakBefore w:val="0"/>
        <w:widowControl w:val="0"/>
        <w:kinsoku/>
        <w:overflowPunct/>
        <w:topLinePunct w:val="0"/>
        <w:autoSpaceDE/>
        <w:autoSpaceDN/>
        <w:bidi w:val="0"/>
        <w:adjustRightInd w:val="0"/>
        <w:snapToGrid w:val="0"/>
        <w:spacing w:line="240" w:lineRule="auto"/>
        <w:ind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1.6法律、行政法规规定的其他条件。</w:t>
      </w:r>
    </w:p>
    <w:p w14:paraId="3C3E94E8">
      <w:pPr>
        <w:keepNext w:val="0"/>
        <w:keepLines w:val="0"/>
        <w:pageBreakBefore w:val="0"/>
        <w:widowControl w:val="0"/>
        <w:kinsoku/>
        <w:overflowPunct/>
        <w:topLinePunct w:val="0"/>
        <w:autoSpaceDE/>
        <w:autoSpaceDN/>
        <w:bidi w:val="0"/>
        <w:adjustRightInd w:val="0"/>
        <w:snapToGrid w:val="0"/>
        <w:spacing w:line="240" w:lineRule="auto"/>
        <w:ind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2.根据采购项目提出的特殊条件：</w:t>
      </w:r>
    </w:p>
    <w:p w14:paraId="2B13EF1F">
      <w:pPr>
        <w:keepNext w:val="0"/>
        <w:keepLines w:val="0"/>
        <w:pageBreakBefore w:val="0"/>
        <w:widowControl w:val="0"/>
        <w:kinsoku/>
        <w:overflowPunct/>
        <w:topLinePunct w:val="0"/>
        <w:autoSpaceDE/>
        <w:autoSpaceDN/>
        <w:bidi w:val="0"/>
        <w:adjustRightInd w:val="0"/>
        <w:snapToGrid w:val="0"/>
        <w:spacing w:line="240" w:lineRule="auto"/>
        <w:ind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2.1本项目参加采购活动的投标人在前三年内不得具有行贿犯罪记录。</w:t>
      </w:r>
    </w:p>
    <w:p w14:paraId="6FAD3283">
      <w:pPr>
        <w:keepNext w:val="0"/>
        <w:keepLines w:val="0"/>
        <w:pageBreakBefore w:val="0"/>
        <w:widowControl w:val="0"/>
        <w:kinsoku/>
        <w:overflowPunct/>
        <w:topLinePunct w:val="0"/>
        <w:autoSpaceDE/>
        <w:autoSpaceDN/>
        <w:bidi w:val="0"/>
        <w:adjustRightInd w:val="0"/>
        <w:snapToGrid w:val="0"/>
        <w:spacing w:line="240" w:lineRule="auto"/>
        <w:ind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六、采购文件获取方式：</w:t>
      </w:r>
    </w:p>
    <w:p w14:paraId="1A4A0454">
      <w:pPr>
        <w:keepNext w:val="0"/>
        <w:keepLines w:val="0"/>
        <w:pageBreakBefore w:val="0"/>
        <w:widowControl w:val="0"/>
        <w:kinsoku/>
        <w:wordWrap w:val="0"/>
        <w:overflowPunct/>
        <w:topLinePunct w:val="0"/>
        <w:autoSpaceDE/>
        <w:autoSpaceDN/>
        <w:bidi w:val="0"/>
        <w:adjustRightInd w:val="0"/>
        <w:snapToGrid w:val="0"/>
        <w:spacing w:line="240" w:lineRule="auto"/>
        <w:ind w:firstLine="560" w:firstLineChars="200"/>
        <w:jc w:val="left"/>
        <w:textAlignment w:val="auto"/>
        <w:rPr>
          <w:rFonts w:hint="default" w:asciiTheme="minorEastAsia" w:hAnsiTheme="minorEastAsia" w:eastAsiaTheme="minorEastAsia" w:cstheme="minorEastAsia"/>
          <w:color w:val="auto"/>
          <w:w w:val="100"/>
          <w:sz w:val="28"/>
          <w:szCs w:val="28"/>
          <w:lang w:val="en-US" w:eastAsia="zh-CN"/>
        </w:rPr>
      </w:pPr>
      <w:r>
        <w:rPr>
          <w:rFonts w:hint="eastAsia" w:asciiTheme="minorEastAsia" w:hAnsiTheme="minorEastAsia" w:eastAsiaTheme="minorEastAsia" w:cstheme="minorEastAsia"/>
          <w:color w:val="auto"/>
          <w:w w:val="100"/>
          <w:sz w:val="28"/>
          <w:szCs w:val="28"/>
        </w:rPr>
        <w:t>1</w:t>
      </w:r>
      <w:r>
        <w:rPr>
          <w:rFonts w:hint="eastAsia" w:asciiTheme="minorEastAsia" w:hAnsiTheme="minorEastAsia" w:cstheme="minorEastAsia"/>
          <w:color w:val="auto"/>
          <w:w w:val="100"/>
          <w:sz w:val="28"/>
          <w:szCs w:val="28"/>
          <w:lang w:eastAsia="zh-CN"/>
        </w:rPr>
        <w:t>、</w:t>
      </w:r>
      <w:r>
        <w:rPr>
          <w:rFonts w:hint="eastAsia" w:asciiTheme="minorEastAsia" w:hAnsiTheme="minorEastAsia" w:eastAsiaTheme="minorEastAsia" w:cstheme="minorEastAsia"/>
          <w:color w:val="auto"/>
          <w:w w:val="100"/>
          <w:sz w:val="28"/>
          <w:szCs w:val="28"/>
        </w:rPr>
        <w:t>访问</w:t>
      </w:r>
      <w:r>
        <w:rPr>
          <w:rFonts w:hint="eastAsia" w:asciiTheme="minorEastAsia" w:hAnsiTheme="minorEastAsia" w:cstheme="minorEastAsia"/>
          <w:color w:val="auto"/>
          <w:w w:val="100"/>
          <w:sz w:val="28"/>
          <w:szCs w:val="28"/>
          <w:lang w:val="en-US" w:eastAsia="zh-CN"/>
        </w:rPr>
        <w:t>成都市锦江区</w:t>
      </w:r>
      <w:r>
        <w:rPr>
          <w:rFonts w:hint="eastAsia" w:asciiTheme="minorEastAsia" w:hAnsiTheme="minorEastAsia" w:cstheme="minorEastAsia"/>
          <w:color w:val="auto"/>
          <w:w w:val="100"/>
          <w:sz w:val="28"/>
          <w:szCs w:val="28"/>
          <w:lang w:eastAsia="zh-CN"/>
        </w:rPr>
        <w:t>三圣</w:t>
      </w:r>
      <w:r>
        <w:rPr>
          <w:rFonts w:hint="eastAsia" w:asciiTheme="minorEastAsia" w:hAnsiTheme="minorEastAsia" w:eastAsiaTheme="minorEastAsia" w:cstheme="minorEastAsia"/>
          <w:color w:val="auto"/>
          <w:w w:val="100"/>
          <w:sz w:val="28"/>
          <w:szCs w:val="28"/>
        </w:rPr>
        <w:t>社区卫生服务中心</w:t>
      </w:r>
      <w:r>
        <w:rPr>
          <w:rFonts w:hint="eastAsia" w:asciiTheme="minorEastAsia" w:hAnsiTheme="minorEastAsia" w:cstheme="minorEastAsia"/>
          <w:color w:val="auto"/>
          <w:w w:val="100"/>
          <w:sz w:val="28"/>
          <w:szCs w:val="28"/>
          <w:lang w:val="en-US" w:eastAsia="zh-CN"/>
        </w:rPr>
        <w:t>微信公众号采购管理平台或登陆https://www.sanshengbid.com/。</w:t>
      </w:r>
    </w:p>
    <w:p w14:paraId="378F2B73">
      <w:pPr>
        <w:keepNext w:val="0"/>
        <w:keepLines w:val="0"/>
        <w:pageBreakBefore w:val="0"/>
        <w:widowControl w:val="0"/>
        <w:kinsoku/>
        <w:overflowPunct/>
        <w:topLinePunct w:val="0"/>
        <w:autoSpaceDE/>
        <w:autoSpaceDN/>
        <w:bidi w:val="0"/>
        <w:adjustRightInd w:val="0"/>
        <w:snapToGrid w:val="0"/>
        <w:spacing w:line="240" w:lineRule="auto"/>
        <w:ind w:firstLine="555"/>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w w:val="100"/>
          <w:sz w:val="28"/>
          <w:szCs w:val="28"/>
        </w:rPr>
        <w:t>2</w:t>
      </w:r>
      <w:r>
        <w:rPr>
          <w:rFonts w:hint="eastAsia" w:asciiTheme="minorEastAsia" w:hAnsiTheme="minorEastAsia" w:cstheme="minorEastAsia"/>
          <w:color w:val="auto"/>
          <w:w w:val="100"/>
          <w:sz w:val="28"/>
          <w:szCs w:val="28"/>
          <w:lang w:eastAsia="zh-CN"/>
        </w:rPr>
        <w:t>、</w:t>
      </w:r>
      <w:r>
        <w:rPr>
          <w:rFonts w:hint="eastAsia" w:asciiTheme="minorEastAsia" w:hAnsiTheme="minorEastAsia" w:eastAsiaTheme="minorEastAsia" w:cstheme="minorEastAsia"/>
          <w:color w:val="auto"/>
          <w:w w:val="100"/>
          <w:sz w:val="28"/>
          <w:szCs w:val="28"/>
        </w:rPr>
        <w:t>选择成都市锦江区</w:t>
      </w:r>
      <w:r>
        <w:rPr>
          <w:rFonts w:hint="eastAsia" w:asciiTheme="minorEastAsia" w:hAnsiTheme="minorEastAsia" w:cstheme="minorEastAsia"/>
          <w:color w:val="auto"/>
          <w:w w:val="100"/>
          <w:sz w:val="28"/>
          <w:szCs w:val="28"/>
          <w:lang w:eastAsia="zh-CN"/>
        </w:rPr>
        <w:t>三圣</w:t>
      </w:r>
      <w:r>
        <w:rPr>
          <w:rFonts w:hint="eastAsia" w:asciiTheme="minorEastAsia" w:hAnsiTheme="minorEastAsia" w:eastAsiaTheme="minorEastAsia" w:cstheme="minorEastAsia"/>
          <w:color w:val="auto"/>
          <w:w w:val="100"/>
          <w:sz w:val="28"/>
          <w:szCs w:val="28"/>
        </w:rPr>
        <w:t>社区卫生服务中</w:t>
      </w:r>
      <w:r>
        <w:rPr>
          <w:rFonts w:hint="eastAsia" w:asciiTheme="minorEastAsia" w:hAnsiTheme="minorEastAsia" w:eastAsiaTheme="minorEastAsia" w:cstheme="minorEastAsia"/>
          <w:color w:val="auto"/>
          <w:sz w:val="28"/>
          <w:szCs w:val="28"/>
        </w:rPr>
        <w:t>心</w:t>
      </w:r>
      <w:r>
        <w:rPr>
          <w:rFonts w:hint="eastAsia" w:asciiTheme="minorEastAsia" w:hAnsiTheme="minorEastAsia" w:cstheme="minorEastAsia"/>
          <w:color w:val="auto"/>
          <w:sz w:val="28"/>
          <w:szCs w:val="28"/>
          <w:lang w:eastAsia="zh-CN"/>
        </w:rPr>
        <w:t>公卫重点人群智能管理系统</w:t>
      </w:r>
      <w:r>
        <w:rPr>
          <w:rFonts w:hint="eastAsia" w:asciiTheme="minorEastAsia" w:hAnsiTheme="minorEastAsia" w:eastAsiaTheme="minorEastAsia" w:cstheme="minorEastAsia"/>
          <w:color w:val="auto"/>
          <w:sz w:val="28"/>
          <w:szCs w:val="28"/>
        </w:rPr>
        <w:t>服务采购项目报名并下载采购文件。</w:t>
      </w:r>
    </w:p>
    <w:p w14:paraId="1A29E1CA">
      <w:pPr>
        <w:keepNext w:val="0"/>
        <w:keepLines w:val="0"/>
        <w:pageBreakBefore w:val="0"/>
        <w:widowControl w:val="0"/>
        <w:kinsoku/>
        <w:overflowPunct/>
        <w:topLinePunct w:val="0"/>
        <w:autoSpaceDE/>
        <w:autoSpaceDN/>
        <w:bidi w:val="0"/>
        <w:adjustRightInd w:val="0"/>
        <w:snapToGrid w:val="0"/>
        <w:spacing w:line="240" w:lineRule="auto"/>
        <w:ind w:firstLine="555"/>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七、递交比价文件截止时间：202</w:t>
      </w:r>
      <w:r>
        <w:rPr>
          <w:rFonts w:hint="eastAsia" w:asciiTheme="minorEastAsia" w:hAnsi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年</w:t>
      </w:r>
      <w:r>
        <w:rPr>
          <w:rFonts w:hint="eastAsia" w:asciiTheme="minorEastAsia" w:hAnsi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rPr>
        <w:t>月</w:t>
      </w:r>
      <w:r>
        <w:rPr>
          <w:rFonts w:hint="eastAsia" w:asciiTheme="minorEastAsia" w:hAnsiTheme="minorEastAsia" w:cstheme="minorEastAsia"/>
          <w:color w:val="auto"/>
          <w:sz w:val="28"/>
          <w:szCs w:val="28"/>
          <w:lang w:val="en-US" w:eastAsia="zh-CN"/>
        </w:rPr>
        <w:t>9</w:t>
      </w:r>
      <w:r>
        <w:rPr>
          <w:rFonts w:hint="eastAsia" w:asciiTheme="minorEastAsia" w:hAnsiTheme="minorEastAsia" w:eastAsiaTheme="minorEastAsia" w:cstheme="minorEastAsia"/>
          <w:color w:val="auto"/>
          <w:sz w:val="28"/>
          <w:szCs w:val="28"/>
        </w:rPr>
        <w:t>日1</w:t>
      </w:r>
      <w:r>
        <w:rPr>
          <w:rFonts w:hint="eastAsia" w:asciiTheme="minorEastAsia" w:hAnsiTheme="minorEastAsia" w:cstheme="minorEastAsia"/>
          <w:color w:val="auto"/>
          <w:sz w:val="28"/>
          <w:szCs w:val="28"/>
          <w:lang w:val="en-US" w:eastAsia="zh-CN"/>
        </w:rPr>
        <w:t>2时00</w:t>
      </w:r>
      <w:r>
        <w:rPr>
          <w:rFonts w:hint="eastAsia" w:asciiTheme="minorEastAsia" w:hAnsiTheme="minorEastAsia" w:eastAsiaTheme="minorEastAsia" w:cstheme="minorEastAsia"/>
          <w:color w:val="auto"/>
          <w:sz w:val="28"/>
          <w:szCs w:val="28"/>
        </w:rPr>
        <w:t>分 （北京时间），递交方式为：在</w:t>
      </w:r>
      <w:r>
        <w:rPr>
          <w:rFonts w:hint="eastAsia" w:asciiTheme="minorEastAsia" w:hAnsiTheme="minorEastAsia" w:cstheme="minorEastAsia"/>
          <w:color w:val="auto"/>
          <w:sz w:val="28"/>
          <w:szCs w:val="28"/>
          <w:lang w:val="en-US" w:eastAsia="zh-CN"/>
        </w:rPr>
        <w:t>成都市锦江区</w:t>
      </w:r>
      <w:r>
        <w:rPr>
          <w:rFonts w:hint="eastAsia" w:asciiTheme="minorEastAsia" w:hAnsiTheme="minorEastAsia" w:cstheme="minorEastAsia"/>
          <w:color w:val="auto"/>
          <w:sz w:val="28"/>
          <w:szCs w:val="28"/>
          <w:lang w:eastAsia="zh-CN"/>
        </w:rPr>
        <w:t>三圣</w:t>
      </w:r>
      <w:r>
        <w:rPr>
          <w:rFonts w:hint="eastAsia" w:asciiTheme="minorEastAsia" w:hAnsiTheme="minorEastAsia" w:eastAsiaTheme="minorEastAsia" w:cstheme="minorEastAsia"/>
          <w:color w:val="auto"/>
          <w:sz w:val="28"/>
          <w:szCs w:val="28"/>
        </w:rPr>
        <w:t>社区卫生服务中心采购管理平台报名后上传PDF版本比价文件。</w:t>
      </w:r>
    </w:p>
    <w:p w14:paraId="6D7FB9E7">
      <w:pPr>
        <w:keepNext w:val="0"/>
        <w:keepLines w:val="0"/>
        <w:pageBreakBefore w:val="0"/>
        <w:widowControl w:val="0"/>
        <w:kinsoku/>
        <w:overflowPunct/>
        <w:topLinePunct w:val="0"/>
        <w:autoSpaceDE/>
        <w:autoSpaceDN/>
        <w:bidi w:val="0"/>
        <w:adjustRightInd w:val="0"/>
        <w:snapToGrid w:val="0"/>
        <w:spacing w:line="240" w:lineRule="auto"/>
        <w:ind w:firstLine="555"/>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八、比价文件必须在投标截止时间前通过采购管理平台上传。逾期上传或者未按照比选文件要求编制的比价文件恕不接受。本次采购不接受纸质比价文件。</w:t>
      </w:r>
    </w:p>
    <w:p w14:paraId="09F81A57">
      <w:pPr>
        <w:keepNext w:val="0"/>
        <w:keepLines w:val="0"/>
        <w:pageBreakBefore w:val="0"/>
        <w:widowControl w:val="0"/>
        <w:kinsoku/>
        <w:overflowPunct/>
        <w:topLinePunct w:val="0"/>
        <w:autoSpaceDE/>
        <w:autoSpaceDN/>
        <w:bidi w:val="0"/>
        <w:adjustRightInd w:val="0"/>
        <w:snapToGrid w:val="0"/>
        <w:spacing w:line="240" w:lineRule="auto"/>
        <w:ind w:firstLine="555"/>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九、本采购邀请以及中标结果将在采购管理平台以公告形式发布。</w:t>
      </w:r>
    </w:p>
    <w:p w14:paraId="1C3CF62F">
      <w:pPr>
        <w:keepNext w:val="0"/>
        <w:keepLines w:val="0"/>
        <w:pageBreakBefore w:val="0"/>
        <w:widowControl w:val="0"/>
        <w:kinsoku/>
        <w:overflowPunct/>
        <w:topLinePunct w:val="0"/>
        <w:autoSpaceDE/>
        <w:autoSpaceDN/>
        <w:bidi w:val="0"/>
        <w:adjustRightInd w:val="0"/>
        <w:snapToGrid w:val="0"/>
        <w:spacing w:line="240" w:lineRule="auto"/>
        <w:ind w:firstLine="555"/>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十、联系方式：</w:t>
      </w:r>
    </w:p>
    <w:p w14:paraId="46535A03">
      <w:pPr>
        <w:keepNext w:val="0"/>
        <w:keepLines w:val="0"/>
        <w:pageBreakBefore w:val="0"/>
        <w:widowControl w:val="0"/>
        <w:kinsoku/>
        <w:overflowPunct/>
        <w:topLinePunct w:val="0"/>
        <w:autoSpaceDE/>
        <w:autoSpaceDN/>
        <w:bidi w:val="0"/>
        <w:adjustRightInd w:val="0"/>
        <w:snapToGrid w:val="0"/>
        <w:spacing w:line="240" w:lineRule="auto"/>
        <w:ind w:firstLine="555"/>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采购人：成都市锦江区</w:t>
      </w:r>
      <w:r>
        <w:rPr>
          <w:rFonts w:hint="eastAsia" w:asciiTheme="minorEastAsia" w:hAnsiTheme="minorEastAsia" w:cstheme="minorEastAsia"/>
          <w:color w:val="auto"/>
          <w:sz w:val="28"/>
          <w:szCs w:val="28"/>
          <w:lang w:eastAsia="zh-CN"/>
        </w:rPr>
        <w:t>三圣</w:t>
      </w:r>
      <w:r>
        <w:rPr>
          <w:rFonts w:hint="eastAsia" w:asciiTheme="minorEastAsia" w:hAnsiTheme="minorEastAsia" w:eastAsiaTheme="minorEastAsia" w:cstheme="minorEastAsia"/>
          <w:color w:val="auto"/>
          <w:sz w:val="28"/>
          <w:szCs w:val="28"/>
        </w:rPr>
        <w:t>社区卫生服务中心</w:t>
      </w:r>
    </w:p>
    <w:p w14:paraId="47A87D10">
      <w:pPr>
        <w:keepNext w:val="0"/>
        <w:keepLines w:val="0"/>
        <w:pageBreakBefore w:val="0"/>
        <w:widowControl w:val="0"/>
        <w:kinsoku/>
        <w:overflowPunct/>
        <w:topLinePunct w:val="0"/>
        <w:autoSpaceDE/>
        <w:autoSpaceDN/>
        <w:bidi w:val="0"/>
        <w:adjustRightInd w:val="0"/>
        <w:snapToGrid w:val="0"/>
        <w:spacing w:line="240" w:lineRule="auto"/>
        <w:ind w:firstLine="555"/>
        <w:jc w:val="left"/>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地址：四川省成都市锦江</w:t>
      </w:r>
      <w:r>
        <w:rPr>
          <w:rFonts w:hint="eastAsia" w:asciiTheme="minorEastAsia" w:hAnsiTheme="minorEastAsia" w:cstheme="minorEastAsia"/>
          <w:color w:val="auto"/>
          <w:sz w:val="28"/>
          <w:szCs w:val="28"/>
          <w:lang w:val="en-US" w:eastAsia="zh-CN"/>
        </w:rPr>
        <w:t>锦江大道877号C栋</w:t>
      </w:r>
    </w:p>
    <w:p w14:paraId="0998EDA0">
      <w:pPr>
        <w:keepNext w:val="0"/>
        <w:keepLines w:val="0"/>
        <w:pageBreakBefore w:val="0"/>
        <w:widowControl w:val="0"/>
        <w:kinsoku/>
        <w:overflowPunct/>
        <w:topLinePunct w:val="0"/>
        <w:autoSpaceDE/>
        <w:autoSpaceDN/>
        <w:bidi w:val="0"/>
        <w:adjustRightInd w:val="0"/>
        <w:snapToGrid w:val="0"/>
        <w:spacing w:line="240" w:lineRule="auto"/>
        <w:ind w:firstLine="555"/>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联系人：</w:t>
      </w:r>
      <w:r>
        <w:rPr>
          <w:rFonts w:hint="eastAsia" w:asciiTheme="minorEastAsia" w:hAnsiTheme="minorEastAsia" w:cstheme="minorEastAsia"/>
          <w:color w:val="auto"/>
          <w:sz w:val="28"/>
          <w:szCs w:val="28"/>
          <w:lang w:val="en-US" w:eastAsia="zh-CN"/>
        </w:rPr>
        <w:t>蒋</w:t>
      </w:r>
      <w:r>
        <w:rPr>
          <w:rFonts w:hint="eastAsia" w:asciiTheme="minorEastAsia" w:hAnsiTheme="minorEastAsia" w:eastAsiaTheme="minorEastAsia" w:cstheme="minorEastAsia"/>
          <w:color w:val="auto"/>
          <w:sz w:val="28"/>
          <w:szCs w:val="28"/>
        </w:rPr>
        <w:t>老师</w:t>
      </w:r>
      <w:bookmarkStart w:id="0" w:name="_GoBack"/>
      <w:bookmarkEnd w:id="0"/>
    </w:p>
    <w:p w14:paraId="04402ABE">
      <w:pPr>
        <w:keepNext w:val="0"/>
        <w:keepLines w:val="0"/>
        <w:pageBreakBefore w:val="0"/>
        <w:widowControl w:val="0"/>
        <w:kinsoku/>
        <w:overflowPunct/>
        <w:topLinePunct w:val="0"/>
        <w:autoSpaceDE/>
        <w:autoSpaceDN/>
        <w:bidi w:val="0"/>
        <w:adjustRightInd w:val="0"/>
        <w:snapToGrid w:val="0"/>
        <w:spacing w:line="240" w:lineRule="auto"/>
        <w:ind w:firstLine="555"/>
        <w:jc w:val="left"/>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电话：028-</w:t>
      </w:r>
      <w:r>
        <w:rPr>
          <w:rFonts w:hint="eastAsia" w:asciiTheme="minorEastAsia" w:hAnsiTheme="minorEastAsia" w:cstheme="minorEastAsia"/>
          <w:color w:val="auto"/>
          <w:sz w:val="28"/>
          <w:szCs w:val="28"/>
          <w:lang w:val="en-US" w:eastAsia="zh-CN"/>
        </w:rPr>
        <w:t>84676908</w:t>
      </w:r>
    </w:p>
    <w:p w14:paraId="549C3B33">
      <w:pPr>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br w:type="page"/>
      </w:r>
    </w:p>
    <w:p w14:paraId="0837BEDD">
      <w:pPr>
        <w:jc w:val="center"/>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第二章  比价文件格式</w:t>
      </w:r>
    </w:p>
    <w:p w14:paraId="7716032F">
      <w:pPr>
        <w:ind w:firstLine="555"/>
        <w:jc w:val="left"/>
        <w:rPr>
          <w:rFonts w:hint="eastAsia" w:asciiTheme="minorEastAsia" w:hAnsiTheme="minorEastAsia" w:eastAsiaTheme="minorEastAsia" w:cstheme="minorEastAsia"/>
          <w:color w:val="auto"/>
          <w:sz w:val="28"/>
          <w:szCs w:val="28"/>
        </w:rPr>
      </w:pPr>
    </w:p>
    <w:p w14:paraId="68906031">
      <w:pPr>
        <w:spacing w:line="240" w:lineRule="auto"/>
        <w:ind w:firstLine="555"/>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一、本章所制比价文件格式，除格式中明确将该格式作为实质性要求的，一律不具有强制性。</w:t>
      </w:r>
    </w:p>
    <w:p w14:paraId="594325E3">
      <w:pPr>
        <w:spacing w:line="240" w:lineRule="auto"/>
        <w:ind w:firstLine="555"/>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二、本章所制比价文件格式有关表格中的备注栏，由投标人根据自身投标情况作解释性说明，不作为必填项。</w:t>
      </w:r>
    </w:p>
    <w:p w14:paraId="78C8439D">
      <w:pPr>
        <w:spacing w:line="240" w:lineRule="auto"/>
        <w:ind w:firstLine="555"/>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三、本章所制比价文件格式中需要填写的相关内容事项，可能会与本采购项目无关，在不改变比价文件原义、不影响本项目采购需求的情况下，投标人可以不予填写，但应当注明。</w:t>
      </w:r>
    </w:p>
    <w:p w14:paraId="71774F54">
      <w:pPr>
        <w:spacing w:line="240" w:lineRule="auto"/>
        <w:ind w:firstLine="555"/>
        <w:jc w:val="left"/>
        <w:rPr>
          <w:rFonts w:hint="eastAsia" w:asciiTheme="minorEastAsia" w:hAnsiTheme="minorEastAsia" w:eastAsiaTheme="minorEastAsia" w:cstheme="minorEastAsia"/>
          <w:color w:val="auto"/>
          <w:sz w:val="28"/>
          <w:szCs w:val="28"/>
        </w:rPr>
      </w:pPr>
    </w:p>
    <w:p w14:paraId="0784850A">
      <w:pPr>
        <w:spacing w:line="240" w:lineRule="auto"/>
        <w:ind w:firstLine="555"/>
        <w:jc w:val="left"/>
        <w:rPr>
          <w:rFonts w:hint="eastAsia" w:asciiTheme="minorEastAsia" w:hAnsiTheme="minorEastAsia" w:eastAsiaTheme="minorEastAsia" w:cstheme="minorEastAsia"/>
          <w:color w:val="auto"/>
          <w:sz w:val="28"/>
          <w:szCs w:val="28"/>
        </w:rPr>
      </w:pPr>
    </w:p>
    <w:p w14:paraId="0F339A12">
      <w:pPr>
        <w:ind w:firstLine="555"/>
        <w:jc w:val="left"/>
        <w:rPr>
          <w:rFonts w:hint="eastAsia" w:asciiTheme="minorEastAsia" w:hAnsiTheme="minorEastAsia" w:eastAsiaTheme="minorEastAsia" w:cstheme="minorEastAsia"/>
          <w:color w:val="auto"/>
          <w:sz w:val="28"/>
          <w:szCs w:val="28"/>
        </w:rPr>
      </w:pPr>
    </w:p>
    <w:p w14:paraId="7B8CE865">
      <w:pPr>
        <w:ind w:firstLine="555"/>
        <w:jc w:val="left"/>
        <w:rPr>
          <w:rFonts w:hint="eastAsia" w:asciiTheme="minorEastAsia" w:hAnsiTheme="minorEastAsia" w:eastAsiaTheme="minorEastAsia" w:cstheme="minorEastAsia"/>
          <w:color w:val="auto"/>
          <w:sz w:val="28"/>
          <w:szCs w:val="28"/>
        </w:rPr>
      </w:pPr>
    </w:p>
    <w:p w14:paraId="33C60450">
      <w:pPr>
        <w:ind w:firstLine="555"/>
        <w:jc w:val="left"/>
        <w:rPr>
          <w:rFonts w:hint="eastAsia" w:asciiTheme="minorEastAsia" w:hAnsiTheme="minorEastAsia" w:eastAsiaTheme="minorEastAsia" w:cstheme="minorEastAsia"/>
          <w:color w:val="auto"/>
          <w:sz w:val="28"/>
          <w:szCs w:val="28"/>
        </w:rPr>
      </w:pPr>
    </w:p>
    <w:p w14:paraId="096B37EB">
      <w:pPr>
        <w:ind w:firstLine="555"/>
        <w:jc w:val="left"/>
        <w:rPr>
          <w:rFonts w:hint="eastAsia" w:asciiTheme="minorEastAsia" w:hAnsiTheme="minorEastAsia" w:eastAsiaTheme="minorEastAsia" w:cstheme="minorEastAsia"/>
          <w:color w:val="auto"/>
          <w:sz w:val="28"/>
          <w:szCs w:val="28"/>
        </w:rPr>
      </w:pPr>
    </w:p>
    <w:p w14:paraId="6AC7324C">
      <w:pPr>
        <w:ind w:firstLine="555"/>
        <w:jc w:val="left"/>
        <w:rPr>
          <w:rFonts w:hint="eastAsia" w:asciiTheme="minorEastAsia" w:hAnsiTheme="minorEastAsia" w:eastAsiaTheme="minorEastAsia" w:cstheme="minorEastAsia"/>
          <w:color w:val="auto"/>
          <w:sz w:val="28"/>
          <w:szCs w:val="28"/>
        </w:rPr>
      </w:pPr>
    </w:p>
    <w:p w14:paraId="5F11BC04">
      <w:pPr>
        <w:ind w:firstLine="555"/>
        <w:jc w:val="left"/>
        <w:rPr>
          <w:rFonts w:hint="eastAsia" w:asciiTheme="minorEastAsia" w:hAnsiTheme="minorEastAsia" w:eastAsiaTheme="minorEastAsia" w:cstheme="minorEastAsia"/>
          <w:color w:val="auto"/>
          <w:sz w:val="28"/>
          <w:szCs w:val="28"/>
        </w:rPr>
      </w:pPr>
    </w:p>
    <w:p w14:paraId="10E4B561">
      <w:pPr>
        <w:ind w:firstLine="555"/>
        <w:jc w:val="left"/>
        <w:rPr>
          <w:rFonts w:hint="eastAsia" w:asciiTheme="minorEastAsia" w:hAnsiTheme="minorEastAsia" w:eastAsiaTheme="minorEastAsia" w:cstheme="minorEastAsia"/>
          <w:color w:val="auto"/>
          <w:sz w:val="28"/>
          <w:szCs w:val="28"/>
        </w:rPr>
      </w:pPr>
    </w:p>
    <w:p w14:paraId="651E479F">
      <w:pPr>
        <w:ind w:firstLine="555"/>
        <w:jc w:val="left"/>
        <w:rPr>
          <w:rFonts w:hint="eastAsia" w:asciiTheme="minorEastAsia" w:hAnsiTheme="minorEastAsia" w:eastAsiaTheme="minorEastAsia" w:cstheme="minorEastAsia"/>
          <w:color w:val="auto"/>
          <w:sz w:val="28"/>
          <w:szCs w:val="28"/>
        </w:rPr>
      </w:pPr>
    </w:p>
    <w:p w14:paraId="41EEE6C3">
      <w:pP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br w:type="page"/>
      </w:r>
    </w:p>
    <w:p w14:paraId="36B90E4D">
      <w:pPr>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一、投标函</w:t>
      </w:r>
    </w:p>
    <w:p w14:paraId="5A02E189">
      <w:pPr>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成都市锦江区</w:t>
      </w:r>
      <w:r>
        <w:rPr>
          <w:rFonts w:hint="eastAsia" w:asciiTheme="minorEastAsia" w:hAnsiTheme="minorEastAsia" w:cstheme="minorEastAsia"/>
          <w:color w:val="auto"/>
          <w:sz w:val="21"/>
          <w:szCs w:val="21"/>
          <w:lang w:eastAsia="zh-CN"/>
        </w:rPr>
        <w:t>三圣</w:t>
      </w:r>
      <w:r>
        <w:rPr>
          <w:rFonts w:hint="eastAsia" w:asciiTheme="minorEastAsia" w:hAnsiTheme="minorEastAsia" w:eastAsiaTheme="minorEastAsia" w:cstheme="minorEastAsia"/>
          <w:color w:val="auto"/>
          <w:sz w:val="21"/>
          <w:szCs w:val="21"/>
        </w:rPr>
        <w:t>社区卫生服务中心：</w:t>
      </w:r>
    </w:p>
    <w:p w14:paraId="294D8F48">
      <w:pPr>
        <w:ind w:firstLine="555"/>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我方全面研究了 “           ”项目【招标编号：       包号（如有）：        】招标文件；决定参加贵单位组织的本项目投标。我方授权         （姓名、职务）代表我方                        （投标单位的名称）全权处理本项目投标的有关事宜。</w:t>
      </w:r>
    </w:p>
    <w:p w14:paraId="236D910E">
      <w:pPr>
        <w:ind w:firstLine="555"/>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1、我方自愿按照招标文件规定的各项要求向采购人提供所需货物/服务，投标总价为人民币            （大写：       ）。</w:t>
      </w:r>
    </w:p>
    <w:p w14:paraId="6E6A6100">
      <w:pPr>
        <w:ind w:firstLine="555"/>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2、一旦我方中标，我方将严格履行政府采购合同规定的责任和义务。</w:t>
      </w:r>
    </w:p>
    <w:p w14:paraId="29E4820B">
      <w:pPr>
        <w:ind w:firstLine="555"/>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3、我方为本项目提交的PDF投标文件1份。</w:t>
      </w:r>
    </w:p>
    <w:p w14:paraId="614766DA">
      <w:pPr>
        <w:ind w:firstLine="555"/>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4、我方同意本招标文件依据《四川省政府采购当事人诚信管理办法》（川财采【2015】33号文件）对我方可能存在的失信行为进行的惩戒。</w:t>
      </w:r>
    </w:p>
    <w:p w14:paraId="4E96AE4E">
      <w:pPr>
        <w:ind w:firstLine="555"/>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5、我方愿意提供贵方可能另外要求的，与投标有关的文件资料，并保证我方已提供和将要提供的文件资料是真实、准确的。</w:t>
      </w:r>
    </w:p>
    <w:p w14:paraId="21806B88">
      <w:pPr>
        <w:ind w:firstLine="555"/>
        <w:jc w:val="left"/>
        <w:rPr>
          <w:rFonts w:hint="eastAsia" w:asciiTheme="minorEastAsia" w:hAnsiTheme="minorEastAsia" w:eastAsiaTheme="minorEastAsia" w:cstheme="minorEastAsia"/>
          <w:color w:val="auto"/>
          <w:sz w:val="21"/>
          <w:szCs w:val="21"/>
        </w:rPr>
      </w:pPr>
    </w:p>
    <w:p w14:paraId="3143F3C8">
      <w:pPr>
        <w:ind w:firstLine="555"/>
        <w:jc w:val="left"/>
        <w:rPr>
          <w:rFonts w:hint="eastAsia" w:asciiTheme="minorEastAsia" w:hAnsiTheme="minorEastAsia" w:eastAsiaTheme="minorEastAsia" w:cstheme="minorEastAsia"/>
          <w:color w:val="auto"/>
          <w:sz w:val="21"/>
          <w:szCs w:val="21"/>
        </w:rPr>
      </w:pPr>
    </w:p>
    <w:p w14:paraId="0453B3E9">
      <w:pPr>
        <w:ind w:firstLine="555"/>
        <w:jc w:val="left"/>
        <w:rPr>
          <w:rFonts w:hint="eastAsia" w:asciiTheme="minorEastAsia" w:hAnsiTheme="minorEastAsia" w:eastAsiaTheme="minorEastAsia" w:cstheme="minorEastAsia"/>
          <w:color w:val="auto"/>
          <w:sz w:val="21"/>
          <w:szCs w:val="21"/>
        </w:rPr>
      </w:pPr>
    </w:p>
    <w:p w14:paraId="0B7CED16">
      <w:pPr>
        <w:ind w:firstLine="555"/>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投标人名称（单位公章）：        </w:t>
      </w:r>
    </w:p>
    <w:p w14:paraId="69E191F3">
      <w:pPr>
        <w:ind w:firstLine="555"/>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法定代表人或授权代表（签字）：</w:t>
      </w:r>
    </w:p>
    <w:p w14:paraId="71A549DC">
      <w:pPr>
        <w:ind w:firstLine="555"/>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日    期：</w:t>
      </w:r>
    </w:p>
    <w:p w14:paraId="5D6C0782">
      <w:pP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br w:type="page"/>
      </w:r>
    </w:p>
    <w:p w14:paraId="504C643F">
      <w:pPr>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二、承诺函</w:t>
      </w:r>
    </w:p>
    <w:p w14:paraId="34685A32">
      <w:pPr>
        <w:jc w:val="left"/>
        <w:rPr>
          <w:rFonts w:ascii="宋体" w:hAnsi="宋体" w:eastAsia="宋体"/>
          <w:color w:val="auto"/>
          <w:szCs w:val="21"/>
        </w:rPr>
      </w:pPr>
      <w:r>
        <w:rPr>
          <w:rFonts w:hint="eastAsia" w:ascii="宋体" w:hAnsi="宋体" w:eastAsia="宋体"/>
          <w:color w:val="auto"/>
          <w:szCs w:val="21"/>
        </w:rPr>
        <w:t>成都市锦江区</w:t>
      </w:r>
      <w:r>
        <w:rPr>
          <w:rFonts w:hint="eastAsia" w:ascii="宋体" w:hAnsi="宋体" w:eastAsia="宋体"/>
          <w:color w:val="auto"/>
          <w:szCs w:val="21"/>
          <w:lang w:eastAsia="zh-CN"/>
        </w:rPr>
        <w:t>三圣</w:t>
      </w:r>
      <w:r>
        <w:rPr>
          <w:rFonts w:hint="eastAsia" w:ascii="宋体" w:hAnsi="宋体" w:eastAsia="宋体"/>
          <w:color w:val="auto"/>
          <w:szCs w:val="21"/>
        </w:rPr>
        <w:t>社区卫生服务中心：</w:t>
      </w:r>
    </w:p>
    <w:p w14:paraId="107AAC68">
      <w:pPr>
        <w:ind w:firstLine="555"/>
        <w:jc w:val="left"/>
        <w:rPr>
          <w:rFonts w:ascii="宋体" w:hAnsi="宋体" w:eastAsia="宋体"/>
          <w:color w:val="auto"/>
          <w:szCs w:val="21"/>
        </w:rPr>
      </w:pPr>
      <w:r>
        <w:rPr>
          <w:rFonts w:hint="eastAsia" w:ascii="宋体" w:hAnsi="宋体" w:eastAsia="宋体"/>
          <w:color w:val="auto"/>
          <w:szCs w:val="21"/>
        </w:rPr>
        <w:t>我公司作为本次采购项目的投标人，根据招标文件要求，现郑重承诺如下：</w:t>
      </w:r>
    </w:p>
    <w:p w14:paraId="180AA00E">
      <w:pPr>
        <w:ind w:firstLine="555"/>
        <w:jc w:val="left"/>
        <w:rPr>
          <w:rFonts w:ascii="宋体" w:hAnsi="宋体" w:eastAsia="宋体"/>
          <w:color w:val="auto"/>
          <w:szCs w:val="21"/>
        </w:rPr>
      </w:pPr>
      <w:r>
        <w:rPr>
          <w:rFonts w:hint="eastAsia" w:ascii="宋体" w:hAnsi="宋体" w:eastAsia="宋体"/>
          <w:color w:val="auto"/>
          <w:szCs w:val="21"/>
        </w:rPr>
        <w:t>一、具备《中华人民共和国政府采购法》第二十二条第一款和本项目规定的条件：</w:t>
      </w:r>
    </w:p>
    <w:p w14:paraId="7AD44C21">
      <w:pPr>
        <w:ind w:firstLine="555"/>
        <w:jc w:val="left"/>
        <w:rPr>
          <w:rFonts w:ascii="宋体" w:hAnsi="宋体" w:eastAsia="宋体"/>
          <w:color w:val="auto"/>
          <w:szCs w:val="21"/>
        </w:rPr>
      </w:pPr>
      <w:r>
        <w:rPr>
          <w:rFonts w:hint="eastAsia" w:ascii="宋体" w:hAnsi="宋体" w:eastAsia="宋体"/>
          <w:color w:val="auto"/>
          <w:szCs w:val="21"/>
        </w:rPr>
        <w:t xml:space="preserve">（1）具有独立承担民事责任的能力； </w:t>
      </w:r>
    </w:p>
    <w:p w14:paraId="2CDF66C5">
      <w:pPr>
        <w:ind w:firstLine="555"/>
        <w:jc w:val="left"/>
        <w:rPr>
          <w:rFonts w:ascii="宋体" w:hAnsi="宋体" w:eastAsia="宋体"/>
          <w:color w:val="auto"/>
          <w:szCs w:val="21"/>
        </w:rPr>
      </w:pPr>
      <w:r>
        <w:rPr>
          <w:rFonts w:hint="eastAsia" w:ascii="宋体" w:hAnsi="宋体" w:eastAsia="宋体"/>
          <w:color w:val="auto"/>
          <w:szCs w:val="21"/>
        </w:rPr>
        <w:t xml:space="preserve">（2）具有良好的商业信誉和健全的财务会计制度； </w:t>
      </w:r>
    </w:p>
    <w:p w14:paraId="77D7EBE0">
      <w:pPr>
        <w:ind w:firstLine="555"/>
        <w:jc w:val="left"/>
        <w:rPr>
          <w:rFonts w:ascii="宋体" w:hAnsi="宋体" w:eastAsia="宋体"/>
          <w:color w:val="auto"/>
          <w:szCs w:val="21"/>
        </w:rPr>
      </w:pPr>
      <w:r>
        <w:rPr>
          <w:rFonts w:hint="eastAsia" w:ascii="宋体" w:hAnsi="宋体" w:eastAsia="宋体"/>
          <w:color w:val="auto"/>
          <w:szCs w:val="21"/>
        </w:rPr>
        <w:t xml:space="preserve">（3）具有履行合同所必需的设备和专业技术能力； </w:t>
      </w:r>
    </w:p>
    <w:p w14:paraId="24346FAC">
      <w:pPr>
        <w:ind w:firstLine="555"/>
        <w:jc w:val="left"/>
        <w:rPr>
          <w:rFonts w:ascii="宋体" w:hAnsi="宋体" w:eastAsia="宋体"/>
          <w:color w:val="auto"/>
          <w:szCs w:val="21"/>
        </w:rPr>
      </w:pPr>
      <w:r>
        <w:rPr>
          <w:rFonts w:hint="eastAsia" w:ascii="宋体" w:hAnsi="宋体" w:eastAsia="宋体"/>
          <w:color w:val="auto"/>
          <w:szCs w:val="21"/>
        </w:rPr>
        <w:t xml:space="preserve">（4）有依法缴纳税收和社会保障资金的良好记录； </w:t>
      </w:r>
    </w:p>
    <w:p w14:paraId="4D733076">
      <w:pPr>
        <w:ind w:firstLine="555"/>
        <w:jc w:val="left"/>
        <w:rPr>
          <w:rFonts w:ascii="宋体" w:hAnsi="宋体" w:eastAsia="宋体"/>
          <w:color w:val="auto"/>
          <w:szCs w:val="21"/>
        </w:rPr>
      </w:pPr>
      <w:r>
        <w:rPr>
          <w:rFonts w:hint="eastAsia" w:ascii="宋体" w:hAnsi="宋体" w:eastAsia="宋体"/>
          <w:color w:val="auto"/>
          <w:szCs w:val="21"/>
        </w:rPr>
        <w:t>（5）参加政府采购活动前三年内，在经营活动中没有重大违法记录；</w:t>
      </w:r>
    </w:p>
    <w:p w14:paraId="1947F845">
      <w:pPr>
        <w:ind w:firstLine="555"/>
        <w:jc w:val="left"/>
        <w:rPr>
          <w:rFonts w:ascii="宋体" w:hAnsi="宋体" w:eastAsia="宋体"/>
          <w:color w:val="auto"/>
          <w:szCs w:val="21"/>
        </w:rPr>
      </w:pPr>
      <w:r>
        <w:rPr>
          <w:rFonts w:hint="eastAsia" w:ascii="宋体" w:hAnsi="宋体" w:eastAsia="宋体"/>
          <w:color w:val="auto"/>
          <w:szCs w:val="21"/>
        </w:rPr>
        <w:t>（6）法律、行政法规规定的其他条件；</w:t>
      </w:r>
    </w:p>
    <w:p w14:paraId="38E3B9B4">
      <w:pPr>
        <w:ind w:firstLine="555"/>
        <w:jc w:val="left"/>
        <w:rPr>
          <w:rFonts w:ascii="宋体" w:hAnsi="宋体" w:eastAsia="宋体"/>
          <w:color w:val="auto"/>
          <w:szCs w:val="21"/>
        </w:rPr>
      </w:pPr>
      <w:r>
        <w:rPr>
          <w:rFonts w:hint="eastAsia" w:ascii="宋体" w:hAnsi="宋体" w:eastAsia="宋体"/>
          <w:color w:val="auto"/>
          <w:szCs w:val="21"/>
        </w:rPr>
        <w:t>（7）根据采购项目提出的特殊条件。</w:t>
      </w:r>
    </w:p>
    <w:p w14:paraId="6B65F7F6">
      <w:pPr>
        <w:ind w:firstLine="555"/>
        <w:jc w:val="left"/>
        <w:rPr>
          <w:rFonts w:ascii="宋体" w:hAnsi="宋体" w:eastAsia="宋体"/>
          <w:color w:val="auto"/>
          <w:szCs w:val="21"/>
        </w:rPr>
      </w:pPr>
      <w:r>
        <w:rPr>
          <w:rFonts w:hint="eastAsia" w:ascii="宋体" w:hAnsi="宋体" w:eastAsia="宋体"/>
          <w:color w:val="auto"/>
          <w:szCs w:val="21"/>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540F0E08">
      <w:pPr>
        <w:ind w:firstLine="555"/>
        <w:jc w:val="left"/>
        <w:rPr>
          <w:rFonts w:ascii="宋体" w:hAnsi="宋体" w:eastAsia="宋体"/>
          <w:color w:val="auto"/>
          <w:szCs w:val="21"/>
        </w:rPr>
      </w:pPr>
      <w:r>
        <w:rPr>
          <w:rFonts w:hint="eastAsia" w:ascii="宋体" w:hAnsi="宋体" w:eastAsia="宋体"/>
          <w:color w:val="auto"/>
          <w:szCs w:val="21"/>
        </w:rPr>
        <w:t>三、参加本次招标采购活动，不存在与单位负责人为同一人或者存在直接控股、管理关系的其他供应商参与同一合同项下的政府采购活动的行为。我方未参与本采购项目前期咨询论证，不属于禁止参加本项目投标的供应商。</w:t>
      </w:r>
    </w:p>
    <w:p w14:paraId="52A4F9B7">
      <w:pPr>
        <w:ind w:firstLine="555"/>
        <w:jc w:val="left"/>
        <w:rPr>
          <w:rFonts w:ascii="宋体" w:hAnsi="宋体" w:eastAsia="宋体"/>
          <w:color w:val="auto"/>
          <w:szCs w:val="21"/>
        </w:rPr>
      </w:pPr>
      <w:r>
        <w:rPr>
          <w:rFonts w:hint="eastAsia" w:ascii="宋体" w:hAnsi="宋体" w:eastAsia="宋体"/>
          <w:color w:val="auto"/>
          <w:szCs w:val="21"/>
        </w:rPr>
        <w:t>四、参加本次招标采购活动，不存在和其他供应商在同一合同项下的采购项目中，同时委托同一个自然人、同一家庭的人员、同一单位的人员作为代理人的行为。</w:t>
      </w:r>
    </w:p>
    <w:p w14:paraId="60F02762">
      <w:pPr>
        <w:ind w:firstLine="555"/>
        <w:jc w:val="left"/>
        <w:rPr>
          <w:rFonts w:ascii="宋体" w:hAnsi="宋体" w:eastAsia="宋体"/>
          <w:color w:val="auto"/>
          <w:szCs w:val="21"/>
        </w:rPr>
      </w:pPr>
      <w:r>
        <w:rPr>
          <w:rFonts w:hint="eastAsia" w:ascii="宋体" w:hAnsi="宋体" w:eastAsia="宋体"/>
          <w:color w:val="auto"/>
          <w:szCs w:val="21"/>
        </w:rPr>
        <w:t>五、我司未被对列入财库[2016]125号规定的失信被执行人、重大税收违法案件当事人名单、政府采购严重违法失信行为记录名单及其他不符合《中华人民共和国政府采购法》第二十二条规定条件的供应商。</w:t>
      </w:r>
    </w:p>
    <w:p w14:paraId="69D5B21E">
      <w:pPr>
        <w:ind w:firstLine="555"/>
        <w:jc w:val="left"/>
        <w:rPr>
          <w:rFonts w:ascii="宋体" w:hAnsi="宋体" w:eastAsia="宋体"/>
          <w:color w:val="auto"/>
          <w:szCs w:val="21"/>
        </w:rPr>
      </w:pPr>
      <w:r>
        <w:rPr>
          <w:rFonts w:hint="eastAsia" w:ascii="宋体" w:hAnsi="宋体" w:eastAsia="宋体"/>
          <w:color w:val="auto"/>
          <w:szCs w:val="21"/>
        </w:rPr>
        <w:t>六、如果有《四川省政府采购当事人诚信管理办法》（川财采[2015]33号）规定的记入诚信档案的失信行为，将在响应文件中全面如实反映。</w:t>
      </w:r>
    </w:p>
    <w:p w14:paraId="7B532771">
      <w:pPr>
        <w:ind w:firstLine="555"/>
        <w:jc w:val="left"/>
        <w:rPr>
          <w:rFonts w:ascii="宋体" w:hAnsi="宋体" w:eastAsia="宋体"/>
          <w:color w:val="auto"/>
          <w:szCs w:val="21"/>
        </w:rPr>
      </w:pPr>
      <w:r>
        <w:rPr>
          <w:rFonts w:hint="eastAsia" w:ascii="宋体" w:hAnsi="宋体" w:eastAsia="宋体"/>
          <w:color w:val="auto"/>
          <w:szCs w:val="21"/>
        </w:rPr>
        <w:t>七、投标文件中提供的能够给予我公司带来优惠、好处的任何材料资料和技术、服务、商务等响应承诺情况都是真实的、有效的、合法的。</w:t>
      </w:r>
    </w:p>
    <w:p w14:paraId="2CEE534E">
      <w:pPr>
        <w:ind w:firstLine="555"/>
        <w:jc w:val="left"/>
        <w:rPr>
          <w:rFonts w:ascii="宋体" w:hAnsi="宋体" w:eastAsia="宋体"/>
          <w:color w:val="auto"/>
          <w:szCs w:val="21"/>
        </w:rPr>
      </w:pPr>
      <w:r>
        <w:rPr>
          <w:rFonts w:hint="eastAsia" w:ascii="宋体" w:hAnsi="宋体" w:eastAsia="宋体"/>
          <w:color w:val="auto"/>
          <w:szCs w:val="21"/>
        </w:rPr>
        <w:t>八、如本项目评标过程中需要提供样品，则我公司提供的样品即为中标后将要提供的中标产品，我公司对提供样品的性能和质量负责，因样品存在缺陷或者不符合招标文件要求导致未能中标的，我公司愿意承担相应不利后果。</w:t>
      </w:r>
    </w:p>
    <w:p w14:paraId="7469A3FA">
      <w:pPr>
        <w:ind w:firstLine="555"/>
        <w:jc w:val="left"/>
        <w:rPr>
          <w:rFonts w:ascii="宋体" w:hAnsi="宋体" w:eastAsia="宋体"/>
          <w:color w:val="auto"/>
          <w:szCs w:val="21"/>
        </w:rPr>
      </w:pPr>
      <w:r>
        <w:rPr>
          <w:rFonts w:hint="eastAsia" w:ascii="宋体" w:hAnsi="宋体" w:eastAsia="宋体"/>
          <w:color w:val="auto"/>
          <w:szCs w:val="21"/>
        </w:rPr>
        <w:t>九、我司完全同意招标文件中关于知识产权的说明，承诺由此造成的纠纷由我单位全权负责。</w:t>
      </w:r>
    </w:p>
    <w:p w14:paraId="71C543E9">
      <w:pPr>
        <w:ind w:firstLine="555"/>
        <w:jc w:val="left"/>
        <w:rPr>
          <w:rFonts w:ascii="宋体" w:hAnsi="宋体" w:eastAsia="宋体"/>
          <w:color w:val="auto"/>
          <w:szCs w:val="21"/>
        </w:rPr>
      </w:pPr>
      <w:r>
        <w:rPr>
          <w:rFonts w:hint="eastAsia" w:ascii="宋体" w:hAnsi="宋体" w:eastAsia="宋体"/>
          <w:color w:val="auto"/>
          <w:szCs w:val="21"/>
        </w:rPr>
        <w:t>本公司对上述承诺内容事项真实性负责。如经查实上述承诺的内容事项存在虚假，我公司愿意接受以提供虚假材料谋取中标追究法律责任。</w:t>
      </w:r>
    </w:p>
    <w:p w14:paraId="3D3AD51B">
      <w:pPr>
        <w:ind w:firstLine="555"/>
        <w:jc w:val="left"/>
        <w:rPr>
          <w:rFonts w:ascii="宋体" w:hAnsi="宋体" w:eastAsia="宋体"/>
          <w:color w:val="auto"/>
          <w:szCs w:val="21"/>
        </w:rPr>
      </w:pPr>
    </w:p>
    <w:p w14:paraId="6C16B323">
      <w:pPr>
        <w:ind w:firstLine="555"/>
        <w:jc w:val="left"/>
        <w:rPr>
          <w:rFonts w:ascii="宋体" w:hAnsi="宋体" w:eastAsia="宋体"/>
          <w:color w:val="auto"/>
          <w:szCs w:val="21"/>
        </w:rPr>
      </w:pPr>
    </w:p>
    <w:p w14:paraId="6339D97D">
      <w:pPr>
        <w:ind w:firstLine="555"/>
        <w:jc w:val="left"/>
        <w:rPr>
          <w:rFonts w:ascii="宋体" w:hAnsi="宋体" w:eastAsia="宋体"/>
          <w:color w:val="auto"/>
          <w:szCs w:val="21"/>
        </w:rPr>
      </w:pPr>
    </w:p>
    <w:p w14:paraId="46B2BF4A">
      <w:pPr>
        <w:ind w:firstLine="555"/>
        <w:jc w:val="left"/>
        <w:rPr>
          <w:rFonts w:ascii="宋体" w:hAnsi="宋体" w:eastAsia="宋体"/>
          <w:color w:val="auto"/>
          <w:szCs w:val="21"/>
        </w:rPr>
      </w:pPr>
      <w:r>
        <w:rPr>
          <w:rFonts w:hint="eastAsia" w:ascii="宋体" w:hAnsi="宋体" w:eastAsia="宋体"/>
          <w:color w:val="auto"/>
          <w:szCs w:val="21"/>
        </w:rPr>
        <w:t>投标人名称：        （盖单位公章）</w:t>
      </w:r>
    </w:p>
    <w:p w14:paraId="2943914D">
      <w:pPr>
        <w:ind w:firstLine="555"/>
        <w:jc w:val="left"/>
        <w:rPr>
          <w:rFonts w:ascii="宋体" w:hAnsi="宋体" w:eastAsia="宋体"/>
          <w:color w:val="auto"/>
          <w:szCs w:val="21"/>
        </w:rPr>
      </w:pPr>
      <w:r>
        <w:rPr>
          <w:rFonts w:hint="eastAsia" w:ascii="宋体" w:hAnsi="宋体" w:eastAsia="宋体"/>
          <w:color w:val="auto"/>
          <w:szCs w:val="21"/>
        </w:rPr>
        <w:t>法定代表人或授权代表 （签字）：</w:t>
      </w:r>
    </w:p>
    <w:p w14:paraId="08AEF660">
      <w:pPr>
        <w:ind w:firstLine="555"/>
        <w:jc w:val="left"/>
        <w:rPr>
          <w:rFonts w:ascii="宋体" w:hAnsi="宋体" w:eastAsia="宋体"/>
          <w:color w:val="auto"/>
          <w:szCs w:val="21"/>
        </w:rPr>
      </w:pPr>
      <w:r>
        <w:rPr>
          <w:rFonts w:hint="eastAsia" w:ascii="宋体" w:hAnsi="宋体" w:eastAsia="宋体"/>
          <w:color w:val="auto"/>
          <w:szCs w:val="21"/>
        </w:rPr>
        <w:t>日期：</w:t>
      </w:r>
    </w:p>
    <w:p w14:paraId="02B04BC7">
      <w:pPr>
        <w:rPr>
          <w:rFonts w:hint="eastAsia" w:ascii="宋体" w:hAnsi="宋体" w:eastAsia="宋体"/>
          <w:color w:val="auto"/>
          <w:sz w:val="28"/>
          <w:szCs w:val="28"/>
        </w:rPr>
      </w:pPr>
      <w:r>
        <w:rPr>
          <w:rFonts w:hint="eastAsia" w:ascii="宋体" w:hAnsi="宋体" w:eastAsia="宋体"/>
          <w:color w:val="auto"/>
          <w:sz w:val="28"/>
          <w:szCs w:val="28"/>
        </w:rPr>
        <w:br w:type="page"/>
      </w:r>
    </w:p>
    <w:p w14:paraId="7FA26958">
      <w:pPr>
        <w:jc w:val="center"/>
        <w:rPr>
          <w:rFonts w:ascii="宋体" w:hAnsi="宋体" w:eastAsia="宋体"/>
          <w:color w:val="auto"/>
          <w:sz w:val="28"/>
          <w:szCs w:val="28"/>
        </w:rPr>
      </w:pPr>
      <w:r>
        <w:rPr>
          <w:rFonts w:hint="eastAsia" w:ascii="宋体" w:hAnsi="宋体" w:eastAsia="宋体"/>
          <w:color w:val="auto"/>
          <w:sz w:val="28"/>
          <w:szCs w:val="28"/>
        </w:rPr>
        <w:t>三、法定代表人授权书</w:t>
      </w:r>
    </w:p>
    <w:p w14:paraId="4FD21DC1">
      <w:pPr>
        <w:jc w:val="left"/>
        <w:rPr>
          <w:rFonts w:ascii="宋体" w:hAnsi="宋体" w:eastAsia="宋体"/>
          <w:color w:val="auto"/>
          <w:szCs w:val="21"/>
        </w:rPr>
      </w:pPr>
    </w:p>
    <w:p w14:paraId="24BEA001">
      <w:pPr>
        <w:jc w:val="left"/>
        <w:rPr>
          <w:rFonts w:ascii="宋体" w:hAnsi="宋体" w:eastAsia="宋体"/>
          <w:color w:val="auto"/>
          <w:szCs w:val="21"/>
        </w:rPr>
      </w:pPr>
      <w:r>
        <w:rPr>
          <w:rFonts w:hint="eastAsia" w:ascii="宋体" w:hAnsi="宋体" w:eastAsia="宋体"/>
          <w:color w:val="auto"/>
          <w:szCs w:val="21"/>
        </w:rPr>
        <w:t>成都市锦江区</w:t>
      </w:r>
      <w:r>
        <w:rPr>
          <w:rFonts w:hint="eastAsia" w:ascii="宋体" w:hAnsi="宋体" w:eastAsia="宋体"/>
          <w:color w:val="auto"/>
          <w:szCs w:val="21"/>
          <w:lang w:eastAsia="zh-CN"/>
        </w:rPr>
        <w:t>三圣</w:t>
      </w:r>
      <w:r>
        <w:rPr>
          <w:rFonts w:hint="eastAsia" w:ascii="宋体" w:hAnsi="宋体" w:eastAsia="宋体"/>
          <w:color w:val="auto"/>
          <w:szCs w:val="21"/>
        </w:rPr>
        <w:t>社区卫生服务中心：</w:t>
      </w:r>
    </w:p>
    <w:p w14:paraId="41EBCB34">
      <w:pPr>
        <w:ind w:firstLine="420" w:firstLineChars="200"/>
        <w:jc w:val="left"/>
        <w:rPr>
          <w:rFonts w:ascii="宋体" w:hAnsi="宋体" w:eastAsia="宋体"/>
          <w:color w:val="auto"/>
          <w:szCs w:val="21"/>
        </w:rPr>
      </w:pPr>
      <w:r>
        <w:rPr>
          <w:rFonts w:hint="eastAsia" w:ascii="宋体" w:hAnsi="宋体" w:eastAsia="宋体"/>
          <w:color w:val="auto"/>
          <w:szCs w:val="21"/>
        </w:rPr>
        <w:t>本授权声明：                     （投标人名称）          （法定代表人姓名、职务）授权                        （被授权人姓名、职务）为我方 “           ”项目（招标编号：                 ）；投标活动的合法代表，以我方名义全权处理该项目有关投标、签订合同以及执行合同等一切事宜。</w:t>
      </w:r>
    </w:p>
    <w:p w14:paraId="434EBBDD">
      <w:pPr>
        <w:ind w:firstLine="420" w:firstLineChars="200"/>
        <w:jc w:val="left"/>
        <w:rPr>
          <w:rFonts w:ascii="宋体" w:hAnsi="宋体" w:eastAsia="宋体"/>
          <w:color w:val="auto"/>
          <w:szCs w:val="21"/>
        </w:rPr>
      </w:pPr>
      <w:r>
        <w:rPr>
          <w:rFonts w:hint="eastAsia" w:ascii="宋体" w:hAnsi="宋体" w:eastAsia="宋体"/>
          <w:color w:val="auto"/>
          <w:szCs w:val="21"/>
        </w:rPr>
        <w:t>特此声明。</w:t>
      </w:r>
    </w:p>
    <w:p w14:paraId="4A0928F8">
      <w:pPr>
        <w:jc w:val="left"/>
        <w:rPr>
          <w:rFonts w:ascii="宋体" w:hAnsi="宋体" w:eastAsia="宋体"/>
          <w:color w:val="auto"/>
          <w:szCs w:val="21"/>
        </w:rPr>
      </w:pPr>
    </w:p>
    <w:p w14:paraId="2052F4C9">
      <w:pPr>
        <w:jc w:val="left"/>
        <w:rPr>
          <w:rFonts w:ascii="宋体" w:hAnsi="宋体" w:eastAsia="宋体"/>
          <w:color w:val="auto"/>
          <w:szCs w:val="21"/>
        </w:rPr>
      </w:pPr>
    </w:p>
    <w:p w14:paraId="4F781A09">
      <w:pPr>
        <w:ind w:firstLine="420" w:firstLineChars="200"/>
        <w:jc w:val="left"/>
        <w:rPr>
          <w:rFonts w:ascii="宋体" w:hAnsi="宋体" w:eastAsia="宋体"/>
          <w:color w:val="auto"/>
          <w:szCs w:val="21"/>
        </w:rPr>
      </w:pPr>
      <w:r>
        <w:rPr>
          <w:rFonts w:hint="eastAsia" w:ascii="宋体" w:hAnsi="宋体" w:eastAsia="宋体"/>
          <w:color w:val="auto"/>
          <w:szCs w:val="21"/>
        </w:rPr>
        <w:t>法定代表人签字或盖法定代表人名章：</w:t>
      </w:r>
    </w:p>
    <w:p w14:paraId="69600702">
      <w:pPr>
        <w:ind w:firstLine="420" w:firstLineChars="200"/>
        <w:jc w:val="left"/>
        <w:rPr>
          <w:rFonts w:ascii="宋体" w:hAnsi="宋体" w:eastAsia="宋体"/>
          <w:color w:val="auto"/>
          <w:szCs w:val="21"/>
        </w:rPr>
      </w:pPr>
      <w:r>
        <w:rPr>
          <w:rFonts w:hint="eastAsia" w:ascii="宋体" w:hAnsi="宋体" w:eastAsia="宋体"/>
          <w:color w:val="auto"/>
          <w:szCs w:val="21"/>
        </w:rPr>
        <w:t>授权代表人（签字）：</w:t>
      </w:r>
    </w:p>
    <w:p w14:paraId="1E88E926">
      <w:pPr>
        <w:ind w:firstLine="420" w:firstLineChars="200"/>
        <w:jc w:val="left"/>
        <w:rPr>
          <w:rFonts w:ascii="宋体" w:hAnsi="宋体" w:eastAsia="宋体"/>
          <w:color w:val="auto"/>
          <w:szCs w:val="21"/>
        </w:rPr>
      </w:pPr>
      <w:r>
        <w:rPr>
          <w:rFonts w:hint="eastAsia" w:ascii="宋体" w:hAnsi="宋体" w:eastAsia="宋体"/>
          <w:color w:val="auto"/>
          <w:szCs w:val="21"/>
        </w:rPr>
        <w:t>投标人名称：         （盖单位公章）</w:t>
      </w:r>
    </w:p>
    <w:p w14:paraId="7A27F00C">
      <w:pPr>
        <w:ind w:firstLine="420" w:firstLineChars="200"/>
        <w:jc w:val="left"/>
        <w:rPr>
          <w:rFonts w:ascii="宋体" w:hAnsi="宋体" w:eastAsia="宋体"/>
          <w:color w:val="auto"/>
          <w:szCs w:val="21"/>
        </w:rPr>
      </w:pPr>
      <w:r>
        <w:rPr>
          <w:rFonts w:hint="eastAsia" w:ascii="宋体" w:hAnsi="宋体" w:eastAsia="宋体"/>
          <w:color w:val="auto"/>
          <w:szCs w:val="21"/>
        </w:rPr>
        <w:t>日    期：</w:t>
      </w:r>
    </w:p>
    <w:p w14:paraId="65669C22">
      <w:pPr>
        <w:jc w:val="left"/>
        <w:rPr>
          <w:rFonts w:ascii="宋体" w:hAnsi="宋体" w:eastAsia="宋体"/>
          <w:color w:val="auto"/>
          <w:szCs w:val="21"/>
        </w:rPr>
      </w:pPr>
    </w:p>
    <w:p w14:paraId="0419D320">
      <w:pPr>
        <w:jc w:val="left"/>
        <w:rPr>
          <w:rFonts w:ascii="宋体" w:hAnsi="宋体" w:eastAsia="宋体"/>
          <w:color w:val="auto"/>
          <w:szCs w:val="21"/>
        </w:rPr>
      </w:pPr>
      <w:r>
        <w:rPr>
          <w:rFonts w:ascii="宋体" w:hAnsi="宋体" w:eastAsia="宋体"/>
          <w:color w:val="auto"/>
          <w:szCs w:val="21"/>
        </w:rPr>
        <w:t xml:space="preserve">               </w:t>
      </w:r>
    </w:p>
    <w:p w14:paraId="0AE5A683">
      <w:pPr>
        <w:jc w:val="left"/>
        <w:rPr>
          <w:rFonts w:ascii="宋体" w:hAnsi="宋体" w:eastAsia="宋体"/>
          <w:color w:val="auto"/>
          <w:szCs w:val="21"/>
        </w:rPr>
      </w:pPr>
    </w:p>
    <w:p w14:paraId="2E55F271">
      <w:pPr>
        <w:jc w:val="left"/>
        <w:rPr>
          <w:rFonts w:ascii="宋体" w:hAnsi="宋体" w:eastAsia="宋体"/>
          <w:color w:val="auto"/>
          <w:szCs w:val="21"/>
        </w:rPr>
      </w:pPr>
    </w:p>
    <w:p w14:paraId="68FD0F98">
      <w:pPr>
        <w:ind w:firstLine="420" w:firstLineChars="200"/>
        <w:jc w:val="left"/>
        <w:rPr>
          <w:rFonts w:ascii="宋体" w:hAnsi="宋体" w:eastAsia="宋体"/>
          <w:color w:val="auto"/>
          <w:szCs w:val="21"/>
        </w:rPr>
      </w:pPr>
      <w:r>
        <w:rPr>
          <w:rFonts w:hint="eastAsia" w:ascii="宋体" w:hAnsi="宋体" w:eastAsia="宋体"/>
          <w:color w:val="auto"/>
          <w:szCs w:val="21"/>
        </w:rPr>
        <w:t>注：（1）法定代表人不参与投标而委托代理人投标适用。</w:t>
      </w:r>
    </w:p>
    <w:p w14:paraId="77691DC4">
      <w:pPr>
        <w:jc w:val="left"/>
        <w:rPr>
          <w:rFonts w:ascii="宋体" w:hAnsi="宋体" w:eastAsia="宋体"/>
          <w:color w:val="auto"/>
          <w:szCs w:val="21"/>
        </w:rPr>
      </w:pPr>
      <w:r>
        <w:rPr>
          <w:rFonts w:hint="eastAsia" w:ascii="宋体" w:hAnsi="宋体" w:eastAsia="宋体"/>
          <w:color w:val="auto"/>
          <w:szCs w:val="21"/>
        </w:rPr>
        <w:t xml:space="preserve">       （2）附法定代表人、授权代表身份证复印件加盖投标人公章。</w:t>
      </w:r>
    </w:p>
    <w:p w14:paraId="04DB7D01">
      <w:pPr>
        <w:jc w:val="left"/>
        <w:rPr>
          <w:rFonts w:ascii="宋体" w:hAnsi="宋体" w:eastAsia="宋体"/>
          <w:color w:val="auto"/>
          <w:sz w:val="28"/>
          <w:szCs w:val="28"/>
        </w:rPr>
      </w:pPr>
    </w:p>
    <w:p w14:paraId="646D6034">
      <w:pPr>
        <w:jc w:val="left"/>
        <w:rPr>
          <w:rFonts w:ascii="宋体" w:hAnsi="宋体" w:eastAsia="宋体"/>
          <w:color w:val="auto"/>
          <w:sz w:val="28"/>
          <w:szCs w:val="28"/>
        </w:rPr>
      </w:pPr>
    </w:p>
    <w:p w14:paraId="74CB9049">
      <w:pPr>
        <w:jc w:val="left"/>
        <w:rPr>
          <w:rFonts w:ascii="宋体" w:hAnsi="宋体" w:eastAsia="宋体"/>
          <w:color w:val="auto"/>
          <w:sz w:val="28"/>
          <w:szCs w:val="28"/>
        </w:rPr>
      </w:pPr>
    </w:p>
    <w:p w14:paraId="1024ABB8">
      <w:pPr>
        <w:jc w:val="left"/>
        <w:rPr>
          <w:rFonts w:ascii="宋体" w:hAnsi="宋体" w:eastAsia="宋体"/>
          <w:color w:val="auto"/>
          <w:sz w:val="28"/>
          <w:szCs w:val="28"/>
        </w:rPr>
      </w:pPr>
    </w:p>
    <w:p w14:paraId="1C610967">
      <w:pPr>
        <w:jc w:val="left"/>
        <w:rPr>
          <w:rFonts w:ascii="宋体" w:hAnsi="宋体" w:eastAsia="宋体"/>
          <w:color w:val="auto"/>
          <w:sz w:val="28"/>
          <w:szCs w:val="28"/>
        </w:rPr>
      </w:pPr>
    </w:p>
    <w:p w14:paraId="646EF54A">
      <w:pPr>
        <w:jc w:val="left"/>
        <w:rPr>
          <w:rFonts w:ascii="宋体" w:hAnsi="宋体" w:eastAsia="宋体"/>
          <w:color w:val="auto"/>
          <w:sz w:val="28"/>
          <w:szCs w:val="28"/>
        </w:rPr>
      </w:pPr>
    </w:p>
    <w:p w14:paraId="50DBB34E">
      <w:pPr>
        <w:jc w:val="left"/>
        <w:rPr>
          <w:rFonts w:ascii="宋体" w:hAnsi="宋体" w:eastAsia="宋体"/>
          <w:color w:val="auto"/>
          <w:sz w:val="28"/>
          <w:szCs w:val="28"/>
        </w:rPr>
      </w:pPr>
    </w:p>
    <w:p w14:paraId="4D0C7FB5">
      <w:pPr>
        <w:jc w:val="left"/>
        <w:rPr>
          <w:rFonts w:ascii="宋体" w:hAnsi="宋体" w:eastAsia="宋体"/>
          <w:color w:val="auto"/>
          <w:sz w:val="28"/>
          <w:szCs w:val="28"/>
        </w:rPr>
      </w:pPr>
    </w:p>
    <w:p w14:paraId="5AA99350">
      <w:pPr>
        <w:jc w:val="left"/>
        <w:rPr>
          <w:rFonts w:ascii="宋体" w:hAnsi="宋体" w:eastAsia="宋体"/>
          <w:color w:val="auto"/>
          <w:sz w:val="28"/>
          <w:szCs w:val="28"/>
        </w:rPr>
      </w:pPr>
    </w:p>
    <w:p w14:paraId="3F3456F3">
      <w:pPr>
        <w:rPr>
          <w:rFonts w:hint="eastAsia" w:ascii="宋体" w:hAnsi="宋体" w:eastAsia="宋体"/>
          <w:color w:val="auto"/>
          <w:sz w:val="28"/>
          <w:szCs w:val="28"/>
        </w:rPr>
      </w:pPr>
      <w:r>
        <w:rPr>
          <w:rFonts w:hint="eastAsia" w:ascii="宋体" w:hAnsi="宋体" w:eastAsia="宋体"/>
          <w:color w:val="auto"/>
          <w:sz w:val="28"/>
          <w:szCs w:val="28"/>
        </w:rPr>
        <w:br w:type="page"/>
      </w:r>
    </w:p>
    <w:p w14:paraId="0FD3CF84">
      <w:pPr>
        <w:jc w:val="center"/>
        <w:rPr>
          <w:rFonts w:ascii="宋体" w:hAnsi="宋体" w:eastAsia="宋体"/>
          <w:color w:val="auto"/>
          <w:sz w:val="28"/>
          <w:szCs w:val="28"/>
        </w:rPr>
      </w:pPr>
      <w:r>
        <w:rPr>
          <w:rFonts w:hint="eastAsia" w:ascii="宋体" w:hAnsi="宋体" w:eastAsia="宋体"/>
          <w:color w:val="auto"/>
          <w:sz w:val="28"/>
          <w:szCs w:val="28"/>
        </w:rPr>
        <w:t>四、法定代表人身份证明</w:t>
      </w:r>
    </w:p>
    <w:p w14:paraId="71BCB831">
      <w:pPr>
        <w:jc w:val="left"/>
        <w:rPr>
          <w:rFonts w:ascii="宋体" w:hAnsi="宋体" w:eastAsia="宋体"/>
          <w:color w:val="auto"/>
          <w:sz w:val="28"/>
          <w:szCs w:val="28"/>
        </w:rPr>
      </w:pPr>
    </w:p>
    <w:p w14:paraId="3268A2D4">
      <w:pPr>
        <w:jc w:val="left"/>
        <w:rPr>
          <w:rFonts w:ascii="宋体" w:hAnsi="宋体" w:eastAsia="宋体"/>
          <w:color w:val="auto"/>
          <w:szCs w:val="21"/>
        </w:rPr>
      </w:pPr>
      <w:r>
        <w:rPr>
          <w:rFonts w:hint="eastAsia" w:ascii="宋体" w:hAnsi="宋体" w:eastAsia="宋体"/>
          <w:color w:val="auto"/>
          <w:szCs w:val="21"/>
        </w:rPr>
        <w:t xml:space="preserve">投标人名称： </w:t>
      </w:r>
      <w:r>
        <w:rPr>
          <w:rFonts w:hint="eastAsia" w:ascii="宋体" w:hAnsi="宋体" w:eastAsia="宋体"/>
          <w:color w:val="auto"/>
          <w:szCs w:val="21"/>
        </w:rPr>
        <w:tab/>
      </w:r>
    </w:p>
    <w:p w14:paraId="35EE2F4B">
      <w:pPr>
        <w:jc w:val="left"/>
        <w:rPr>
          <w:rFonts w:ascii="宋体" w:hAnsi="宋体" w:eastAsia="宋体"/>
          <w:color w:val="auto"/>
          <w:szCs w:val="21"/>
        </w:rPr>
      </w:pPr>
      <w:r>
        <w:rPr>
          <w:rFonts w:hint="eastAsia" w:ascii="宋体" w:hAnsi="宋体" w:eastAsia="宋体"/>
          <w:color w:val="auto"/>
          <w:szCs w:val="21"/>
        </w:rPr>
        <w:t xml:space="preserve">单位性质： </w:t>
      </w:r>
      <w:r>
        <w:rPr>
          <w:rFonts w:hint="eastAsia" w:ascii="宋体" w:hAnsi="宋体" w:eastAsia="宋体"/>
          <w:color w:val="auto"/>
          <w:szCs w:val="21"/>
        </w:rPr>
        <w:tab/>
      </w:r>
    </w:p>
    <w:p w14:paraId="213FE69D">
      <w:pPr>
        <w:jc w:val="left"/>
        <w:rPr>
          <w:rFonts w:ascii="宋体" w:hAnsi="宋体" w:eastAsia="宋体"/>
          <w:color w:val="auto"/>
          <w:szCs w:val="21"/>
        </w:rPr>
      </w:pPr>
      <w:r>
        <w:rPr>
          <w:rFonts w:hint="eastAsia" w:ascii="宋体" w:hAnsi="宋体" w:eastAsia="宋体"/>
          <w:color w:val="auto"/>
          <w:szCs w:val="21"/>
        </w:rPr>
        <w:t xml:space="preserve">地址： </w:t>
      </w:r>
      <w:r>
        <w:rPr>
          <w:rFonts w:hint="eastAsia" w:ascii="宋体" w:hAnsi="宋体" w:eastAsia="宋体"/>
          <w:color w:val="auto"/>
          <w:szCs w:val="21"/>
        </w:rPr>
        <w:tab/>
      </w:r>
    </w:p>
    <w:p w14:paraId="4C36C662">
      <w:pPr>
        <w:jc w:val="left"/>
        <w:rPr>
          <w:rFonts w:ascii="宋体" w:hAnsi="宋体" w:eastAsia="宋体"/>
          <w:color w:val="auto"/>
          <w:szCs w:val="21"/>
        </w:rPr>
      </w:pPr>
      <w:r>
        <w:rPr>
          <w:rFonts w:hint="eastAsia" w:ascii="宋体" w:hAnsi="宋体" w:eastAsia="宋体"/>
          <w:color w:val="auto"/>
          <w:szCs w:val="21"/>
        </w:rPr>
        <w:t xml:space="preserve">成立时间： </w:t>
      </w:r>
      <w:r>
        <w:rPr>
          <w:rFonts w:hint="eastAsia" w:ascii="宋体" w:hAnsi="宋体" w:eastAsia="宋体"/>
          <w:color w:val="auto"/>
          <w:szCs w:val="21"/>
        </w:rPr>
        <w:tab/>
      </w:r>
      <w:r>
        <w:rPr>
          <w:rFonts w:hint="eastAsia" w:ascii="宋体" w:hAnsi="宋体" w:eastAsia="宋体"/>
          <w:color w:val="auto"/>
          <w:szCs w:val="21"/>
        </w:rPr>
        <w:t xml:space="preserve"> 年 </w:t>
      </w:r>
      <w:r>
        <w:rPr>
          <w:rFonts w:hint="eastAsia" w:ascii="宋体" w:hAnsi="宋体" w:eastAsia="宋体"/>
          <w:color w:val="auto"/>
          <w:szCs w:val="21"/>
        </w:rPr>
        <w:tab/>
      </w:r>
      <w:r>
        <w:rPr>
          <w:rFonts w:hint="eastAsia" w:ascii="宋体" w:hAnsi="宋体" w:eastAsia="宋体"/>
          <w:color w:val="auto"/>
          <w:szCs w:val="21"/>
        </w:rPr>
        <w:t xml:space="preserve">月 </w:t>
      </w:r>
      <w:r>
        <w:rPr>
          <w:rFonts w:hint="eastAsia" w:ascii="宋体" w:hAnsi="宋体" w:eastAsia="宋体"/>
          <w:color w:val="auto"/>
          <w:szCs w:val="21"/>
        </w:rPr>
        <w:tab/>
      </w:r>
      <w:r>
        <w:rPr>
          <w:rFonts w:hint="eastAsia" w:ascii="宋体" w:hAnsi="宋体" w:eastAsia="宋体"/>
          <w:color w:val="auto"/>
          <w:szCs w:val="21"/>
        </w:rPr>
        <w:t>日</w:t>
      </w:r>
    </w:p>
    <w:p w14:paraId="256B7558">
      <w:pPr>
        <w:jc w:val="left"/>
        <w:rPr>
          <w:rFonts w:ascii="宋体" w:hAnsi="宋体" w:eastAsia="宋体"/>
          <w:color w:val="auto"/>
          <w:szCs w:val="21"/>
        </w:rPr>
      </w:pPr>
      <w:r>
        <w:rPr>
          <w:rFonts w:hint="eastAsia" w:ascii="宋体" w:hAnsi="宋体" w:eastAsia="宋体"/>
          <w:color w:val="auto"/>
          <w:szCs w:val="21"/>
        </w:rPr>
        <w:t xml:space="preserve">经营期限： </w:t>
      </w:r>
      <w:r>
        <w:rPr>
          <w:rFonts w:hint="eastAsia" w:ascii="宋体" w:hAnsi="宋体" w:eastAsia="宋体"/>
          <w:color w:val="auto"/>
          <w:szCs w:val="21"/>
        </w:rPr>
        <w:tab/>
      </w:r>
    </w:p>
    <w:p w14:paraId="17F74159">
      <w:pPr>
        <w:jc w:val="left"/>
        <w:rPr>
          <w:rFonts w:ascii="宋体" w:hAnsi="宋体" w:eastAsia="宋体"/>
          <w:color w:val="auto"/>
          <w:szCs w:val="21"/>
        </w:rPr>
      </w:pPr>
    </w:p>
    <w:p w14:paraId="528C0A01">
      <w:pPr>
        <w:jc w:val="left"/>
        <w:rPr>
          <w:rFonts w:ascii="宋体" w:hAnsi="宋体" w:eastAsia="宋体"/>
          <w:color w:val="auto"/>
          <w:szCs w:val="21"/>
        </w:rPr>
      </w:pPr>
    </w:p>
    <w:p w14:paraId="1F5F472B">
      <w:pPr>
        <w:jc w:val="left"/>
        <w:rPr>
          <w:rFonts w:ascii="宋体" w:hAnsi="宋体" w:eastAsia="宋体"/>
          <w:color w:val="auto"/>
          <w:szCs w:val="21"/>
        </w:rPr>
      </w:pPr>
      <w:r>
        <w:rPr>
          <w:rFonts w:hint="eastAsia" w:ascii="宋体" w:hAnsi="宋体" w:eastAsia="宋体"/>
          <w:color w:val="auto"/>
          <w:szCs w:val="21"/>
        </w:rPr>
        <w:t xml:space="preserve">姓名： </w:t>
      </w:r>
      <w:r>
        <w:rPr>
          <w:rFonts w:hint="eastAsia" w:ascii="宋体" w:hAnsi="宋体" w:eastAsia="宋体"/>
          <w:color w:val="auto"/>
          <w:szCs w:val="21"/>
        </w:rPr>
        <w:tab/>
      </w:r>
      <w:r>
        <w:rPr>
          <w:rFonts w:hint="eastAsia" w:ascii="宋体" w:hAnsi="宋体" w:eastAsia="宋体"/>
          <w:color w:val="auto"/>
          <w:szCs w:val="21"/>
        </w:rPr>
        <w:t xml:space="preserve">系 </w:t>
      </w:r>
      <w:r>
        <w:rPr>
          <w:rFonts w:hint="eastAsia" w:ascii="宋体" w:hAnsi="宋体" w:eastAsia="宋体"/>
          <w:color w:val="auto"/>
          <w:szCs w:val="21"/>
        </w:rPr>
        <w:tab/>
      </w:r>
      <w:r>
        <w:rPr>
          <w:rFonts w:hint="eastAsia" w:ascii="宋体" w:hAnsi="宋体" w:eastAsia="宋体"/>
          <w:color w:val="auto"/>
          <w:szCs w:val="21"/>
        </w:rPr>
        <w:tab/>
      </w:r>
      <w:r>
        <w:rPr>
          <w:rFonts w:hint="eastAsia" w:ascii="宋体" w:hAnsi="宋体" w:eastAsia="宋体"/>
          <w:color w:val="auto"/>
          <w:szCs w:val="21"/>
        </w:rPr>
        <w:t xml:space="preserve">（投标人名称） 的法定代表人（职务： </w:t>
      </w:r>
      <w:r>
        <w:rPr>
          <w:rFonts w:hint="eastAsia" w:ascii="宋体" w:hAnsi="宋体" w:eastAsia="宋体"/>
          <w:color w:val="auto"/>
          <w:szCs w:val="21"/>
        </w:rPr>
        <w:tab/>
      </w:r>
      <w:r>
        <w:rPr>
          <w:rFonts w:hint="eastAsia" w:ascii="宋体" w:hAnsi="宋体" w:eastAsia="宋体"/>
          <w:color w:val="auto"/>
          <w:szCs w:val="21"/>
        </w:rPr>
        <w:t xml:space="preserve"> 电话： </w:t>
      </w:r>
      <w:r>
        <w:rPr>
          <w:rFonts w:hint="eastAsia" w:ascii="宋体" w:hAnsi="宋体" w:eastAsia="宋体"/>
          <w:color w:val="auto"/>
          <w:szCs w:val="21"/>
        </w:rPr>
        <w:tab/>
      </w:r>
      <w:r>
        <w:rPr>
          <w:rFonts w:hint="eastAsia" w:ascii="宋体" w:hAnsi="宋体" w:eastAsia="宋体"/>
          <w:color w:val="auto"/>
          <w:szCs w:val="21"/>
        </w:rPr>
        <w:tab/>
      </w:r>
      <w:r>
        <w:rPr>
          <w:rFonts w:hint="eastAsia" w:ascii="宋体" w:hAnsi="宋体" w:eastAsia="宋体"/>
          <w:color w:val="auto"/>
          <w:szCs w:val="21"/>
        </w:rPr>
        <w:t>）。</w:t>
      </w:r>
    </w:p>
    <w:p w14:paraId="10998B9A">
      <w:pPr>
        <w:jc w:val="left"/>
        <w:rPr>
          <w:rFonts w:ascii="宋体" w:hAnsi="宋体" w:eastAsia="宋体"/>
          <w:color w:val="auto"/>
          <w:szCs w:val="21"/>
        </w:rPr>
      </w:pPr>
    </w:p>
    <w:p w14:paraId="0BE552FE">
      <w:pPr>
        <w:jc w:val="left"/>
        <w:rPr>
          <w:rFonts w:ascii="宋体" w:hAnsi="宋体" w:eastAsia="宋体"/>
          <w:color w:val="auto"/>
          <w:szCs w:val="21"/>
        </w:rPr>
      </w:pPr>
    </w:p>
    <w:p w14:paraId="003D58BE">
      <w:pPr>
        <w:jc w:val="left"/>
        <w:rPr>
          <w:rFonts w:ascii="宋体" w:hAnsi="宋体" w:eastAsia="宋体"/>
          <w:color w:val="auto"/>
          <w:szCs w:val="21"/>
        </w:rPr>
      </w:pPr>
      <w:r>
        <w:rPr>
          <w:rFonts w:hint="eastAsia" w:ascii="宋体" w:hAnsi="宋体" w:eastAsia="宋体"/>
          <w:color w:val="auto"/>
          <w:szCs w:val="21"/>
        </w:rPr>
        <w:t>特此证明。</w:t>
      </w:r>
    </w:p>
    <w:p w14:paraId="75080302">
      <w:pPr>
        <w:jc w:val="left"/>
        <w:rPr>
          <w:rFonts w:ascii="宋体" w:hAnsi="宋体" w:eastAsia="宋体"/>
          <w:color w:val="auto"/>
          <w:szCs w:val="21"/>
        </w:rPr>
      </w:pPr>
    </w:p>
    <w:p w14:paraId="34F0FEAE">
      <w:pPr>
        <w:jc w:val="left"/>
        <w:rPr>
          <w:rFonts w:ascii="宋体" w:hAnsi="宋体" w:eastAsia="宋体"/>
          <w:color w:val="auto"/>
          <w:szCs w:val="21"/>
        </w:rPr>
      </w:pPr>
      <w:r>
        <w:rPr>
          <w:rFonts w:hint="eastAsia" w:ascii="宋体" w:hAnsi="宋体" w:eastAsia="宋体"/>
          <w:color w:val="auto"/>
          <w:szCs w:val="21"/>
        </w:rPr>
        <w:t>附：法定代表人身份证复印件</w:t>
      </w:r>
    </w:p>
    <w:p w14:paraId="296BDF22">
      <w:pPr>
        <w:jc w:val="left"/>
        <w:rPr>
          <w:rFonts w:ascii="宋体" w:hAnsi="宋体" w:eastAsia="宋体"/>
          <w:color w:val="auto"/>
          <w:szCs w:val="21"/>
        </w:rPr>
      </w:pPr>
    </w:p>
    <w:p w14:paraId="163812FA">
      <w:pPr>
        <w:jc w:val="left"/>
        <w:rPr>
          <w:rFonts w:ascii="宋体" w:hAnsi="宋体" w:eastAsia="宋体"/>
          <w:color w:val="auto"/>
          <w:szCs w:val="21"/>
        </w:rPr>
      </w:pPr>
    </w:p>
    <w:p w14:paraId="012E6DEE">
      <w:pPr>
        <w:jc w:val="left"/>
        <w:rPr>
          <w:rFonts w:ascii="宋体" w:hAnsi="宋体" w:eastAsia="宋体"/>
          <w:color w:val="auto"/>
          <w:szCs w:val="21"/>
        </w:rPr>
      </w:pPr>
      <w:r>
        <w:rPr>
          <w:rFonts w:hint="eastAsia" w:ascii="宋体" w:hAnsi="宋体" w:eastAsia="宋体"/>
          <w:color w:val="auto"/>
          <w:szCs w:val="21"/>
        </w:rPr>
        <w:t xml:space="preserve">投标人： </w:t>
      </w:r>
      <w:r>
        <w:rPr>
          <w:rFonts w:hint="eastAsia" w:ascii="宋体" w:hAnsi="宋体" w:eastAsia="宋体"/>
          <w:color w:val="auto"/>
          <w:szCs w:val="21"/>
        </w:rPr>
        <w:tab/>
      </w:r>
      <w:r>
        <w:rPr>
          <w:rFonts w:hint="eastAsia" w:ascii="宋体" w:hAnsi="宋体" w:eastAsia="宋体"/>
          <w:color w:val="auto"/>
          <w:szCs w:val="21"/>
        </w:rPr>
        <w:t xml:space="preserve"> （盖单位公章）</w:t>
      </w:r>
    </w:p>
    <w:p w14:paraId="76C7C5F9">
      <w:pPr>
        <w:jc w:val="left"/>
        <w:rPr>
          <w:rFonts w:ascii="宋体" w:hAnsi="宋体" w:eastAsia="宋体"/>
          <w:color w:val="auto"/>
          <w:szCs w:val="21"/>
        </w:rPr>
      </w:pPr>
      <w:r>
        <w:rPr>
          <w:rFonts w:hint="eastAsia" w:ascii="宋体" w:hAnsi="宋体" w:eastAsia="宋体"/>
          <w:color w:val="auto"/>
          <w:szCs w:val="21"/>
        </w:rPr>
        <w:t>法定代表人签字或者加盖法定代表人名章：</w:t>
      </w:r>
      <w:r>
        <w:rPr>
          <w:rFonts w:hint="eastAsia" w:ascii="宋体" w:hAnsi="宋体" w:eastAsia="宋体"/>
          <w:color w:val="auto"/>
          <w:szCs w:val="21"/>
        </w:rPr>
        <w:tab/>
      </w:r>
      <w:r>
        <w:rPr>
          <w:rFonts w:hint="eastAsia" w:ascii="宋体" w:hAnsi="宋体" w:eastAsia="宋体"/>
          <w:color w:val="auto"/>
          <w:szCs w:val="21"/>
        </w:rPr>
        <w:t>。</w:t>
      </w:r>
    </w:p>
    <w:p w14:paraId="3951E78D">
      <w:pPr>
        <w:jc w:val="left"/>
        <w:rPr>
          <w:rFonts w:ascii="宋体" w:hAnsi="宋体" w:eastAsia="宋体"/>
          <w:color w:val="auto"/>
          <w:szCs w:val="21"/>
        </w:rPr>
      </w:pPr>
    </w:p>
    <w:p w14:paraId="63141BCA">
      <w:pPr>
        <w:jc w:val="left"/>
        <w:rPr>
          <w:rFonts w:ascii="宋体" w:hAnsi="宋体" w:eastAsia="宋体"/>
          <w:color w:val="auto"/>
          <w:szCs w:val="21"/>
        </w:rPr>
      </w:pPr>
      <w:r>
        <w:rPr>
          <w:rFonts w:hint="eastAsia" w:ascii="宋体" w:hAnsi="宋体" w:eastAsia="宋体"/>
          <w:color w:val="auto"/>
          <w:szCs w:val="21"/>
        </w:rPr>
        <w:t xml:space="preserve">      年      月     日</w:t>
      </w:r>
    </w:p>
    <w:p w14:paraId="4C803211">
      <w:pPr>
        <w:jc w:val="left"/>
        <w:rPr>
          <w:rFonts w:ascii="宋体" w:hAnsi="宋体" w:eastAsia="宋体"/>
          <w:color w:val="auto"/>
          <w:szCs w:val="21"/>
        </w:rPr>
      </w:pPr>
    </w:p>
    <w:p w14:paraId="73EA375B">
      <w:pPr>
        <w:jc w:val="left"/>
        <w:rPr>
          <w:rFonts w:ascii="宋体" w:hAnsi="宋体" w:eastAsia="宋体"/>
          <w:b/>
          <w:color w:val="auto"/>
          <w:szCs w:val="21"/>
        </w:rPr>
      </w:pPr>
      <w:r>
        <w:rPr>
          <w:rFonts w:hint="eastAsia" w:ascii="宋体" w:hAnsi="宋体" w:eastAsia="宋体"/>
          <w:b/>
          <w:color w:val="auto"/>
          <w:szCs w:val="21"/>
        </w:rPr>
        <w:t>注：法定代表人投标而非委托代理人投标适用</w:t>
      </w:r>
    </w:p>
    <w:p w14:paraId="34C59BDC">
      <w:pPr>
        <w:jc w:val="left"/>
        <w:rPr>
          <w:rFonts w:ascii="宋体" w:hAnsi="宋体" w:eastAsia="宋体"/>
          <w:b/>
          <w:color w:val="auto"/>
          <w:szCs w:val="21"/>
        </w:rPr>
      </w:pPr>
    </w:p>
    <w:p w14:paraId="20A5F23D">
      <w:pPr>
        <w:jc w:val="left"/>
        <w:rPr>
          <w:rFonts w:ascii="宋体" w:hAnsi="宋体" w:eastAsia="宋体"/>
          <w:b/>
          <w:color w:val="auto"/>
          <w:szCs w:val="21"/>
        </w:rPr>
      </w:pPr>
    </w:p>
    <w:p w14:paraId="222949A5">
      <w:pPr>
        <w:jc w:val="left"/>
        <w:rPr>
          <w:rFonts w:ascii="宋体" w:hAnsi="宋体" w:eastAsia="宋体"/>
          <w:b/>
          <w:color w:val="auto"/>
          <w:szCs w:val="21"/>
        </w:rPr>
      </w:pPr>
    </w:p>
    <w:p w14:paraId="5F2099AE">
      <w:pPr>
        <w:jc w:val="left"/>
        <w:rPr>
          <w:rFonts w:ascii="宋体" w:hAnsi="宋体" w:eastAsia="宋体"/>
          <w:b/>
          <w:color w:val="auto"/>
          <w:szCs w:val="21"/>
        </w:rPr>
      </w:pPr>
    </w:p>
    <w:p w14:paraId="0B019FBC">
      <w:pPr>
        <w:jc w:val="left"/>
        <w:rPr>
          <w:rFonts w:ascii="宋体" w:hAnsi="宋体" w:eastAsia="宋体"/>
          <w:b/>
          <w:color w:val="auto"/>
          <w:szCs w:val="21"/>
        </w:rPr>
      </w:pPr>
    </w:p>
    <w:p w14:paraId="3532DCD9">
      <w:pPr>
        <w:jc w:val="left"/>
        <w:rPr>
          <w:rFonts w:ascii="宋体" w:hAnsi="宋体" w:eastAsia="宋体"/>
          <w:b/>
          <w:color w:val="auto"/>
          <w:szCs w:val="21"/>
        </w:rPr>
      </w:pPr>
    </w:p>
    <w:p w14:paraId="6872656C">
      <w:pPr>
        <w:jc w:val="left"/>
        <w:rPr>
          <w:rFonts w:ascii="宋体" w:hAnsi="宋体" w:eastAsia="宋体"/>
          <w:b/>
          <w:color w:val="auto"/>
          <w:szCs w:val="21"/>
        </w:rPr>
      </w:pPr>
    </w:p>
    <w:p w14:paraId="0EBA6944">
      <w:pPr>
        <w:jc w:val="left"/>
        <w:rPr>
          <w:rFonts w:ascii="宋体" w:hAnsi="宋体" w:eastAsia="宋体"/>
          <w:b/>
          <w:color w:val="auto"/>
          <w:szCs w:val="21"/>
        </w:rPr>
      </w:pPr>
    </w:p>
    <w:p w14:paraId="217FDDA9">
      <w:pPr>
        <w:jc w:val="center"/>
        <w:rPr>
          <w:rFonts w:ascii="宋体" w:hAnsi="宋体" w:eastAsia="宋体"/>
          <w:color w:val="auto"/>
          <w:szCs w:val="21"/>
        </w:rPr>
      </w:pPr>
      <w:r>
        <w:rPr>
          <w:rFonts w:hint="eastAsia" w:ascii="宋体" w:hAnsi="宋体" w:eastAsia="宋体"/>
          <w:color w:val="auto"/>
          <w:szCs w:val="21"/>
        </w:rPr>
        <w:t>附：法定代表人身份证正反面</w:t>
      </w:r>
    </w:p>
    <w:p w14:paraId="3A89B700">
      <w:pPr>
        <w:jc w:val="left"/>
        <w:rPr>
          <w:rFonts w:ascii="宋体" w:hAnsi="宋体" w:eastAsia="宋体"/>
          <w:color w:val="auto"/>
          <w:szCs w:val="21"/>
        </w:rPr>
      </w:pPr>
    </w:p>
    <w:p w14:paraId="1E223B3B">
      <w:pPr>
        <w:jc w:val="left"/>
        <w:rPr>
          <w:rFonts w:ascii="宋体" w:hAnsi="宋体" w:eastAsia="宋体"/>
          <w:color w:val="auto"/>
          <w:szCs w:val="21"/>
        </w:rPr>
      </w:pPr>
    </w:p>
    <w:p w14:paraId="48894668">
      <w:pPr>
        <w:jc w:val="left"/>
        <w:rPr>
          <w:rFonts w:ascii="宋体" w:hAnsi="宋体" w:eastAsia="宋体"/>
          <w:color w:val="auto"/>
          <w:szCs w:val="21"/>
        </w:rPr>
      </w:pPr>
    </w:p>
    <w:p w14:paraId="5216CBCE">
      <w:pPr>
        <w:jc w:val="left"/>
        <w:rPr>
          <w:rFonts w:ascii="宋体" w:hAnsi="宋体" w:eastAsia="宋体"/>
          <w:color w:val="auto"/>
          <w:szCs w:val="21"/>
        </w:rPr>
      </w:pPr>
    </w:p>
    <w:p w14:paraId="48BE7C28">
      <w:pPr>
        <w:jc w:val="left"/>
        <w:rPr>
          <w:rFonts w:ascii="宋体" w:hAnsi="宋体" w:eastAsia="宋体"/>
          <w:color w:val="auto"/>
          <w:szCs w:val="21"/>
        </w:rPr>
      </w:pPr>
    </w:p>
    <w:p w14:paraId="60CFA920">
      <w:pPr>
        <w:jc w:val="left"/>
        <w:rPr>
          <w:rFonts w:ascii="宋体" w:hAnsi="宋体" w:eastAsia="宋体"/>
          <w:color w:val="auto"/>
          <w:szCs w:val="21"/>
        </w:rPr>
      </w:pPr>
    </w:p>
    <w:p w14:paraId="735EE594">
      <w:pPr>
        <w:jc w:val="center"/>
        <w:rPr>
          <w:rFonts w:ascii="宋体" w:hAnsi="宋体" w:eastAsia="宋体"/>
          <w:color w:val="auto"/>
          <w:sz w:val="28"/>
          <w:szCs w:val="28"/>
        </w:rPr>
      </w:pPr>
      <w:r>
        <w:rPr>
          <w:rFonts w:hint="eastAsia" w:ascii="宋体" w:hAnsi="宋体" w:eastAsia="宋体"/>
          <w:color w:val="auto"/>
          <w:sz w:val="28"/>
          <w:szCs w:val="28"/>
        </w:rPr>
        <w:t>五、报价表</w:t>
      </w:r>
    </w:p>
    <w:p w14:paraId="20D07369">
      <w:pPr>
        <w:jc w:val="center"/>
        <w:rPr>
          <w:rFonts w:ascii="宋体" w:hAnsi="宋体" w:eastAsia="宋体"/>
          <w:color w:val="auto"/>
          <w:sz w:val="28"/>
          <w:szCs w:val="28"/>
        </w:rPr>
      </w:pPr>
    </w:p>
    <w:p w14:paraId="307C1466">
      <w:pPr>
        <w:jc w:val="left"/>
        <w:rPr>
          <w:rFonts w:ascii="宋体" w:hAnsi="宋体" w:eastAsia="宋体"/>
          <w:color w:val="auto"/>
          <w:szCs w:val="21"/>
          <w:u w:val="single"/>
        </w:rPr>
      </w:pPr>
      <w:r>
        <w:rPr>
          <w:rFonts w:hint="eastAsia" w:ascii="宋体" w:hAnsi="宋体" w:eastAsia="宋体"/>
          <w:color w:val="auto"/>
          <w:szCs w:val="21"/>
        </w:rPr>
        <w:t>项目名称：</w:t>
      </w:r>
      <w:r>
        <w:rPr>
          <w:rFonts w:hint="eastAsia" w:ascii="宋体" w:hAnsi="宋体" w:eastAsia="宋体"/>
          <w:color w:val="auto"/>
          <w:szCs w:val="21"/>
          <w:u w:val="single"/>
        </w:rPr>
        <w:t xml:space="preserve">                                       </w:t>
      </w:r>
    </w:p>
    <w:p w14:paraId="6EA2E3BD">
      <w:pPr>
        <w:jc w:val="left"/>
        <w:rPr>
          <w:rFonts w:ascii="宋体" w:hAnsi="宋体" w:eastAsia="宋体"/>
          <w:color w:val="auto"/>
          <w:szCs w:val="21"/>
          <w:u w:val="single"/>
        </w:rPr>
      </w:pPr>
      <w:r>
        <w:rPr>
          <w:rFonts w:hint="eastAsia" w:ascii="宋体" w:hAnsi="宋体" w:eastAsia="宋体"/>
          <w:color w:val="auto"/>
          <w:szCs w:val="21"/>
        </w:rPr>
        <w:t>项目编号：</w:t>
      </w:r>
      <w:r>
        <w:rPr>
          <w:rFonts w:hint="eastAsia" w:ascii="宋体" w:hAnsi="宋体" w:eastAsia="宋体"/>
          <w:color w:val="auto"/>
          <w:szCs w:val="21"/>
          <w:u w:val="single"/>
        </w:rPr>
        <w:t xml:space="preserve">                                       </w:t>
      </w:r>
    </w:p>
    <w:p w14:paraId="183A4F44">
      <w:pPr>
        <w:jc w:val="left"/>
        <w:rPr>
          <w:rFonts w:ascii="宋体" w:hAnsi="宋体" w:eastAsia="宋体"/>
          <w:color w:val="auto"/>
          <w:szCs w:val="21"/>
        </w:rPr>
      </w:pPr>
      <w:r>
        <w:rPr>
          <w:rFonts w:hint="eastAsia" w:ascii="宋体" w:hAnsi="宋体" w:eastAsia="宋体"/>
          <w:color w:val="auto"/>
          <w:szCs w:val="21"/>
        </w:rPr>
        <w:t>供应商名称（盖章）：</w:t>
      </w:r>
      <w:r>
        <w:rPr>
          <w:rFonts w:hint="eastAsia" w:ascii="宋体" w:hAnsi="宋体" w:eastAsia="宋体"/>
          <w:color w:val="auto"/>
          <w:szCs w:val="21"/>
          <w:u w:val="single"/>
        </w:rPr>
        <w:t xml:space="preserve">                               </w:t>
      </w:r>
    </w:p>
    <w:p w14:paraId="4AC1CC51">
      <w:pPr>
        <w:jc w:val="left"/>
        <w:rPr>
          <w:rFonts w:ascii="宋体" w:hAnsi="宋体" w:eastAsia="宋体"/>
          <w:color w:val="auto"/>
          <w:szCs w:val="21"/>
        </w:rPr>
      </w:pPr>
    </w:p>
    <w:tbl>
      <w:tblPr>
        <w:tblStyle w:val="8"/>
        <w:tblW w:w="8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2356"/>
        <w:gridCol w:w="1267"/>
        <w:gridCol w:w="1267"/>
        <w:gridCol w:w="1759"/>
        <w:gridCol w:w="1270"/>
      </w:tblGrid>
      <w:tr w14:paraId="56388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jc w:val="center"/>
        </w:trPr>
        <w:tc>
          <w:tcPr>
            <w:tcW w:w="1045" w:type="dxa"/>
            <w:vAlign w:val="center"/>
          </w:tcPr>
          <w:p w14:paraId="1E2CF761">
            <w:pPr>
              <w:spacing w:line="360" w:lineRule="auto"/>
              <w:jc w:val="center"/>
              <w:rPr>
                <w:rFonts w:ascii="宋体" w:hAnsi="宋体"/>
                <w:b/>
                <w:color w:val="auto"/>
                <w:szCs w:val="21"/>
              </w:rPr>
            </w:pPr>
            <w:r>
              <w:rPr>
                <w:rFonts w:hint="eastAsia" w:ascii="宋体" w:hAnsi="宋体"/>
                <w:b/>
                <w:color w:val="auto"/>
                <w:szCs w:val="21"/>
              </w:rPr>
              <w:t>序号</w:t>
            </w:r>
          </w:p>
        </w:tc>
        <w:tc>
          <w:tcPr>
            <w:tcW w:w="2356" w:type="dxa"/>
            <w:vAlign w:val="center"/>
          </w:tcPr>
          <w:p w14:paraId="072AEB72">
            <w:pPr>
              <w:spacing w:line="360" w:lineRule="auto"/>
              <w:jc w:val="center"/>
              <w:rPr>
                <w:rFonts w:ascii="宋体" w:hAnsi="宋体"/>
                <w:b/>
                <w:color w:val="auto"/>
                <w:szCs w:val="21"/>
              </w:rPr>
            </w:pPr>
            <w:r>
              <w:rPr>
                <w:rFonts w:hint="eastAsia" w:ascii="宋体" w:hAnsi="宋体"/>
                <w:b/>
                <w:color w:val="auto"/>
                <w:szCs w:val="21"/>
              </w:rPr>
              <w:t>项目名称</w:t>
            </w:r>
          </w:p>
        </w:tc>
        <w:tc>
          <w:tcPr>
            <w:tcW w:w="1267" w:type="dxa"/>
            <w:vAlign w:val="center"/>
          </w:tcPr>
          <w:p w14:paraId="3C117238">
            <w:pPr>
              <w:spacing w:line="360" w:lineRule="auto"/>
              <w:jc w:val="center"/>
              <w:rPr>
                <w:rFonts w:ascii="宋体" w:hAnsi="宋体"/>
                <w:b/>
                <w:color w:val="auto"/>
                <w:szCs w:val="21"/>
              </w:rPr>
            </w:pPr>
            <w:r>
              <w:rPr>
                <w:rFonts w:hint="eastAsia" w:ascii="宋体" w:hAnsi="宋体"/>
                <w:b/>
                <w:color w:val="auto"/>
                <w:szCs w:val="21"/>
              </w:rPr>
              <w:t>投标单价</w:t>
            </w:r>
          </w:p>
          <w:p w14:paraId="18D39F61">
            <w:pPr>
              <w:spacing w:line="360" w:lineRule="auto"/>
              <w:jc w:val="center"/>
              <w:rPr>
                <w:rFonts w:ascii="宋体" w:hAnsi="宋体"/>
                <w:b/>
                <w:color w:val="auto"/>
                <w:szCs w:val="21"/>
              </w:rPr>
            </w:pPr>
            <w:r>
              <w:rPr>
                <w:rFonts w:hint="eastAsia" w:ascii="宋体" w:hAnsi="宋体"/>
                <w:b/>
                <w:color w:val="auto"/>
                <w:szCs w:val="21"/>
              </w:rPr>
              <w:t>（元）</w:t>
            </w:r>
          </w:p>
        </w:tc>
        <w:tc>
          <w:tcPr>
            <w:tcW w:w="1267" w:type="dxa"/>
            <w:vAlign w:val="center"/>
          </w:tcPr>
          <w:p w14:paraId="2457CBDF">
            <w:pPr>
              <w:spacing w:line="360" w:lineRule="auto"/>
              <w:jc w:val="center"/>
              <w:rPr>
                <w:rFonts w:ascii="宋体" w:hAnsi="宋体"/>
                <w:b/>
                <w:color w:val="auto"/>
                <w:szCs w:val="21"/>
              </w:rPr>
            </w:pPr>
            <w:r>
              <w:rPr>
                <w:rFonts w:hint="eastAsia" w:ascii="宋体" w:hAnsi="宋体"/>
                <w:b/>
                <w:color w:val="auto"/>
                <w:szCs w:val="21"/>
              </w:rPr>
              <w:t>投标总价</w:t>
            </w:r>
          </w:p>
          <w:p w14:paraId="7ACA6960">
            <w:pPr>
              <w:spacing w:line="360" w:lineRule="auto"/>
              <w:jc w:val="center"/>
              <w:rPr>
                <w:rFonts w:ascii="宋体" w:hAnsi="宋体"/>
                <w:b/>
                <w:color w:val="auto"/>
                <w:szCs w:val="21"/>
              </w:rPr>
            </w:pPr>
            <w:r>
              <w:rPr>
                <w:rFonts w:hint="eastAsia" w:ascii="宋体" w:hAnsi="宋体"/>
                <w:b/>
                <w:color w:val="auto"/>
                <w:szCs w:val="21"/>
              </w:rPr>
              <w:t>（元）</w:t>
            </w:r>
          </w:p>
        </w:tc>
        <w:tc>
          <w:tcPr>
            <w:tcW w:w="1759" w:type="dxa"/>
            <w:vAlign w:val="center"/>
          </w:tcPr>
          <w:p w14:paraId="19B6C740">
            <w:pPr>
              <w:spacing w:line="360" w:lineRule="auto"/>
              <w:jc w:val="center"/>
              <w:rPr>
                <w:rFonts w:ascii="宋体" w:hAnsi="宋体"/>
                <w:b/>
                <w:color w:val="auto"/>
                <w:szCs w:val="21"/>
              </w:rPr>
            </w:pPr>
            <w:r>
              <w:rPr>
                <w:rFonts w:hint="eastAsia" w:ascii="宋体" w:hAnsi="宋体"/>
                <w:b/>
                <w:color w:val="auto"/>
                <w:szCs w:val="21"/>
              </w:rPr>
              <w:t>交货时间</w:t>
            </w:r>
          </w:p>
          <w:p w14:paraId="1B6CC9B0">
            <w:pPr>
              <w:spacing w:line="360" w:lineRule="auto"/>
              <w:jc w:val="center"/>
              <w:rPr>
                <w:rFonts w:ascii="宋体" w:hAnsi="宋体"/>
                <w:b/>
                <w:color w:val="auto"/>
                <w:szCs w:val="21"/>
              </w:rPr>
            </w:pPr>
            <w:r>
              <w:rPr>
                <w:rFonts w:hint="eastAsia" w:ascii="宋体" w:hAnsi="宋体"/>
                <w:b/>
                <w:color w:val="auto"/>
                <w:szCs w:val="21"/>
              </w:rPr>
              <w:t>（工期）</w:t>
            </w:r>
          </w:p>
        </w:tc>
        <w:tc>
          <w:tcPr>
            <w:tcW w:w="1270" w:type="dxa"/>
            <w:vAlign w:val="center"/>
          </w:tcPr>
          <w:p w14:paraId="20A94778">
            <w:pPr>
              <w:spacing w:line="360" w:lineRule="auto"/>
              <w:jc w:val="center"/>
              <w:rPr>
                <w:rFonts w:ascii="宋体" w:hAnsi="宋体"/>
                <w:b/>
                <w:color w:val="auto"/>
                <w:szCs w:val="21"/>
              </w:rPr>
            </w:pPr>
            <w:r>
              <w:rPr>
                <w:rFonts w:hint="eastAsia" w:ascii="宋体" w:hAnsi="宋体"/>
                <w:b/>
                <w:color w:val="auto"/>
                <w:szCs w:val="21"/>
              </w:rPr>
              <w:t>备注</w:t>
            </w:r>
          </w:p>
        </w:tc>
      </w:tr>
      <w:tr w14:paraId="2163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1045" w:type="dxa"/>
          </w:tcPr>
          <w:p w14:paraId="42AE3CB3">
            <w:pPr>
              <w:spacing w:line="360" w:lineRule="auto"/>
              <w:jc w:val="center"/>
              <w:rPr>
                <w:rFonts w:hint="eastAsia" w:ascii="宋体" w:hAnsi="宋体" w:eastAsiaTheme="minorEastAsia"/>
                <w:b/>
                <w:color w:val="auto"/>
                <w:szCs w:val="21"/>
                <w:lang w:val="en-US" w:eastAsia="zh-CN"/>
              </w:rPr>
            </w:pPr>
            <w:r>
              <w:rPr>
                <w:rFonts w:hint="eastAsia" w:ascii="宋体" w:hAnsi="宋体"/>
                <w:b/>
                <w:color w:val="auto"/>
                <w:szCs w:val="21"/>
                <w:lang w:val="en-US" w:eastAsia="zh-CN"/>
              </w:rPr>
              <w:t>1</w:t>
            </w:r>
          </w:p>
        </w:tc>
        <w:tc>
          <w:tcPr>
            <w:tcW w:w="2356" w:type="dxa"/>
            <w:vAlign w:val="center"/>
          </w:tcPr>
          <w:p w14:paraId="23BACC9A">
            <w:pPr>
              <w:spacing w:line="360" w:lineRule="auto"/>
              <w:jc w:val="center"/>
              <w:rPr>
                <w:rFonts w:ascii="宋体" w:hAnsi="宋体"/>
                <w:b/>
                <w:color w:val="auto"/>
                <w:szCs w:val="21"/>
              </w:rPr>
            </w:pPr>
            <w:r>
              <w:rPr>
                <w:rFonts w:hint="eastAsia" w:ascii="宋体" w:hAnsi="宋体"/>
                <w:b/>
                <w:color w:val="auto"/>
                <w:szCs w:val="21"/>
              </w:rPr>
              <w:t>公卫重点人群智能管理系统</w:t>
            </w:r>
          </w:p>
        </w:tc>
        <w:tc>
          <w:tcPr>
            <w:tcW w:w="1267" w:type="dxa"/>
            <w:vAlign w:val="center"/>
          </w:tcPr>
          <w:p w14:paraId="2AF6B3F4">
            <w:pPr>
              <w:spacing w:line="360" w:lineRule="auto"/>
              <w:jc w:val="center"/>
              <w:rPr>
                <w:rFonts w:ascii="宋体" w:hAnsi="宋体"/>
                <w:b/>
                <w:color w:val="auto"/>
                <w:szCs w:val="21"/>
              </w:rPr>
            </w:pPr>
          </w:p>
        </w:tc>
        <w:tc>
          <w:tcPr>
            <w:tcW w:w="1267" w:type="dxa"/>
            <w:vAlign w:val="center"/>
          </w:tcPr>
          <w:p w14:paraId="6E37E5C5">
            <w:pPr>
              <w:spacing w:line="360" w:lineRule="auto"/>
              <w:jc w:val="center"/>
              <w:rPr>
                <w:rFonts w:ascii="宋体" w:hAnsi="宋体"/>
                <w:b/>
                <w:color w:val="auto"/>
                <w:szCs w:val="21"/>
              </w:rPr>
            </w:pPr>
          </w:p>
        </w:tc>
        <w:tc>
          <w:tcPr>
            <w:tcW w:w="1759" w:type="dxa"/>
            <w:vAlign w:val="center"/>
          </w:tcPr>
          <w:p w14:paraId="49D4A155">
            <w:pPr>
              <w:spacing w:line="360" w:lineRule="auto"/>
              <w:jc w:val="center"/>
              <w:rPr>
                <w:rFonts w:ascii="宋体" w:hAnsi="宋体"/>
                <w:b/>
                <w:color w:val="auto"/>
                <w:szCs w:val="21"/>
              </w:rPr>
            </w:pPr>
          </w:p>
        </w:tc>
        <w:tc>
          <w:tcPr>
            <w:tcW w:w="1270" w:type="dxa"/>
            <w:vAlign w:val="center"/>
          </w:tcPr>
          <w:p w14:paraId="0E287A06">
            <w:pPr>
              <w:spacing w:line="360" w:lineRule="auto"/>
              <w:jc w:val="center"/>
              <w:rPr>
                <w:rFonts w:ascii="宋体" w:hAnsi="宋体"/>
                <w:b/>
                <w:color w:val="auto"/>
                <w:szCs w:val="21"/>
              </w:rPr>
            </w:pPr>
          </w:p>
        </w:tc>
      </w:tr>
      <w:tr w14:paraId="179F3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1045" w:type="dxa"/>
          </w:tcPr>
          <w:p w14:paraId="37B3F604">
            <w:pPr>
              <w:spacing w:line="360" w:lineRule="auto"/>
              <w:jc w:val="center"/>
              <w:rPr>
                <w:rFonts w:hint="eastAsia" w:ascii="宋体" w:hAnsi="宋体" w:eastAsiaTheme="minorEastAsia"/>
                <w:b/>
                <w:color w:val="auto"/>
                <w:szCs w:val="21"/>
                <w:lang w:val="en-US" w:eastAsia="zh-CN"/>
              </w:rPr>
            </w:pPr>
            <w:r>
              <w:rPr>
                <w:rFonts w:hint="eastAsia" w:ascii="宋体" w:hAnsi="宋体"/>
                <w:b/>
                <w:color w:val="auto"/>
                <w:szCs w:val="21"/>
                <w:lang w:val="en-US" w:eastAsia="zh-CN"/>
              </w:rPr>
              <w:t>2</w:t>
            </w:r>
          </w:p>
        </w:tc>
        <w:tc>
          <w:tcPr>
            <w:tcW w:w="2356" w:type="dxa"/>
            <w:vAlign w:val="center"/>
          </w:tcPr>
          <w:p w14:paraId="608BCBC6">
            <w:pPr>
              <w:spacing w:line="360" w:lineRule="auto"/>
              <w:jc w:val="center"/>
              <w:rPr>
                <w:rFonts w:hint="default" w:ascii="宋体" w:hAnsi="宋体" w:eastAsiaTheme="minorEastAsia"/>
                <w:b/>
                <w:color w:val="auto"/>
                <w:szCs w:val="21"/>
                <w:lang w:val="en-US" w:eastAsia="zh-CN"/>
              </w:rPr>
            </w:pPr>
            <w:r>
              <w:rPr>
                <w:rFonts w:hint="eastAsia" w:ascii="宋体" w:hAnsi="宋体"/>
                <w:b/>
                <w:color w:val="auto"/>
                <w:szCs w:val="21"/>
              </w:rPr>
              <w:t>公卫重点人群智能管理系统</w:t>
            </w:r>
            <w:r>
              <w:rPr>
                <w:rFonts w:hint="eastAsia" w:ascii="宋体" w:hAnsi="宋体"/>
                <w:b/>
                <w:color w:val="auto"/>
                <w:szCs w:val="21"/>
                <w:lang w:val="en-US" w:eastAsia="zh-CN"/>
              </w:rPr>
              <w:t>维护服务</w:t>
            </w:r>
          </w:p>
        </w:tc>
        <w:tc>
          <w:tcPr>
            <w:tcW w:w="1267" w:type="dxa"/>
            <w:vAlign w:val="center"/>
          </w:tcPr>
          <w:p w14:paraId="1BDB2221">
            <w:pPr>
              <w:spacing w:line="360" w:lineRule="auto"/>
              <w:jc w:val="center"/>
              <w:rPr>
                <w:rFonts w:ascii="宋体" w:hAnsi="宋体"/>
                <w:b/>
                <w:color w:val="auto"/>
                <w:szCs w:val="21"/>
              </w:rPr>
            </w:pPr>
          </w:p>
        </w:tc>
        <w:tc>
          <w:tcPr>
            <w:tcW w:w="1267" w:type="dxa"/>
            <w:vAlign w:val="center"/>
          </w:tcPr>
          <w:p w14:paraId="7D550DB3">
            <w:pPr>
              <w:spacing w:line="360" w:lineRule="auto"/>
              <w:jc w:val="center"/>
              <w:rPr>
                <w:rFonts w:ascii="宋体" w:hAnsi="宋体"/>
                <w:b/>
                <w:color w:val="auto"/>
                <w:szCs w:val="21"/>
              </w:rPr>
            </w:pPr>
          </w:p>
        </w:tc>
        <w:tc>
          <w:tcPr>
            <w:tcW w:w="1759" w:type="dxa"/>
            <w:vAlign w:val="center"/>
          </w:tcPr>
          <w:p w14:paraId="63EE412F">
            <w:pPr>
              <w:spacing w:line="360" w:lineRule="auto"/>
              <w:jc w:val="center"/>
              <w:rPr>
                <w:rFonts w:ascii="宋体" w:hAnsi="宋体"/>
                <w:b/>
                <w:color w:val="auto"/>
                <w:szCs w:val="21"/>
              </w:rPr>
            </w:pPr>
          </w:p>
        </w:tc>
        <w:tc>
          <w:tcPr>
            <w:tcW w:w="1270" w:type="dxa"/>
            <w:vAlign w:val="center"/>
          </w:tcPr>
          <w:p w14:paraId="2D5D6D13">
            <w:pPr>
              <w:spacing w:line="360" w:lineRule="auto"/>
              <w:jc w:val="center"/>
              <w:rPr>
                <w:rFonts w:ascii="宋体" w:hAnsi="宋体"/>
                <w:b/>
                <w:color w:val="auto"/>
                <w:szCs w:val="21"/>
              </w:rPr>
            </w:pPr>
          </w:p>
        </w:tc>
      </w:tr>
      <w:tr w14:paraId="78113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8964" w:type="dxa"/>
            <w:gridSpan w:val="6"/>
            <w:vAlign w:val="center"/>
          </w:tcPr>
          <w:p w14:paraId="558662F9">
            <w:pPr>
              <w:spacing w:line="360" w:lineRule="auto"/>
              <w:jc w:val="left"/>
              <w:rPr>
                <w:rFonts w:ascii="宋体" w:hAnsi="宋体"/>
                <w:b/>
                <w:color w:val="auto"/>
                <w:szCs w:val="21"/>
              </w:rPr>
            </w:pPr>
            <w:r>
              <w:rPr>
                <w:rFonts w:hint="eastAsia" w:ascii="宋体" w:hAnsi="宋体"/>
                <w:b/>
                <w:color w:val="auto"/>
                <w:szCs w:val="21"/>
              </w:rPr>
              <w:t>投标总价：</w:t>
            </w:r>
            <w:r>
              <w:rPr>
                <w:rFonts w:hint="eastAsia" w:ascii="宋体" w:hAnsi="宋体"/>
                <w:b/>
                <w:color w:val="auto"/>
                <w:szCs w:val="21"/>
                <w:u w:val="single"/>
              </w:rPr>
              <w:t xml:space="preserve">                       </w:t>
            </w:r>
            <w:r>
              <w:rPr>
                <w:rFonts w:hint="eastAsia" w:ascii="宋体" w:hAnsi="宋体"/>
                <w:b/>
                <w:color w:val="auto"/>
                <w:szCs w:val="21"/>
              </w:rPr>
              <w:t xml:space="preserve">      大写（人民币）：</w:t>
            </w:r>
            <w:r>
              <w:rPr>
                <w:rFonts w:hint="eastAsia" w:ascii="宋体" w:hAnsi="宋体"/>
                <w:b/>
                <w:color w:val="auto"/>
                <w:szCs w:val="21"/>
                <w:u w:val="single"/>
              </w:rPr>
              <w:t xml:space="preserve">                          </w:t>
            </w:r>
          </w:p>
        </w:tc>
      </w:tr>
    </w:tbl>
    <w:p w14:paraId="082F089C">
      <w:pPr>
        <w:jc w:val="left"/>
        <w:rPr>
          <w:rFonts w:ascii="宋体" w:hAnsi="宋体" w:eastAsia="宋体"/>
          <w:color w:val="auto"/>
          <w:sz w:val="28"/>
          <w:szCs w:val="28"/>
        </w:rPr>
      </w:pPr>
    </w:p>
    <w:p w14:paraId="068A1585">
      <w:pPr>
        <w:jc w:val="left"/>
        <w:rPr>
          <w:rFonts w:ascii="宋体" w:hAnsi="宋体" w:eastAsia="宋体"/>
          <w:color w:val="auto"/>
          <w:szCs w:val="21"/>
        </w:rPr>
      </w:pPr>
      <w:r>
        <w:rPr>
          <w:rFonts w:hint="eastAsia" w:ascii="宋体" w:hAnsi="宋体" w:eastAsia="宋体"/>
          <w:color w:val="auto"/>
          <w:szCs w:val="21"/>
        </w:rPr>
        <w:t>注：报价应是最终用户验收合格后的总价，包括货物运输、保险、代理、安装调试、培训、税费、系统集成费用和招标文件规定的其它费用。本项目公卫重点人群智能管理系统</w:t>
      </w:r>
      <w:r>
        <w:rPr>
          <w:rFonts w:hint="eastAsia" w:ascii="宋体" w:hAnsi="宋体" w:eastAsia="宋体"/>
          <w:color w:val="auto"/>
          <w:szCs w:val="21"/>
          <w:lang w:val="en-US" w:eastAsia="zh-CN"/>
        </w:rPr>
        <w:t>最高限价9万元/套（含首年服务费），系公卫重点人群智能管理系统维护服务费最高限价1.5万元/年</w:t>
      </w:r>
      <w:r>
        <w:rPr>
          <w:rFonts w:hint="eastAsia" w:ascii="宋体" w:hAnsi="宋体" w:eastAsia="宋体"/>
          <w:color w:val="auto"/>
          <w:szCs w:val="21"/>
        </w:rPr>
        <w:t>。</w:t>
      </w:r>
    </w:p>
    <w:p w14:paraId="103DDB46">
      <w:pPr>
        <w:jc w:val="left"/>
        <w:rPr>
          <w:rFonts w:ascii="宋体" w:hAnsi="宋体" w:eastAsia="宋体"/>
          <w:color w:val="auto"/>
          <w:szCs w:val="21"/>
        </w:rPr>
      </w:pPr>
    </w:p>
    <w:p w14:paraId="5217E2EB">
      <w:pPr>
        <w:jc w:val="left"/>
        <w:rPr>
          <w:rFonts w:ascii="宋体" w:hAnsi="宋体" w:eastAsia="宋体"/>
          <w:color w:val="auto"/>
          <w:szCs w:val="21"/>
        </w:rPr>
      </w:pPr>
    </w:p>
    <w:p w14:paraId="45D7ADD8">
      <w:pPr>
        <w:jc w:val="left"/>
        <w:rPr>
          <w:rFonts w:ascii="宋体" w:hAnsi="宋体" w:eastAsia="宋体"/>
          <w:color w:val="auto"/>
          <w:szCs w:val="21"/>
        </w:rPr>
      </w:pPr>
    </w:p>
    <w:p w14:paraId="539ABC7F">
      <w:pPr>
        <w:jc w:val="left"/>
        <w:rPr>
          <w:rFonts w:ascii="宋体" w:hAnsi="宋体" w:eastAsia="宋体"/>
          <w:color w:val="auto"/>
          <w:szCs w:val="21"/>
        </w:rPr>
      </w:pPr>
      <w:r>
        <w:rPr>
          <w:rFonts w:hint="eastAsia" w:ascii="宋体" w:hAnsi="宋体" w:eastAsia="宋体"/>
          <w:color w:val="auto"/>
          <w:szCs w:val="21"/>
        </w:rPr>
        <w:t>投标人名称：        （盖单位公章）</w:t>
      </w:r>
    </w:p>
    <w:p w14:paraId="50DB65A7">
      <w:pPr>
        <w:jc w:val="left"/>
        <w:rPr>
          <w:rFonts w:ascii="宋体" w:hAnsi="宋体" w:eastAsia="宋体"/>
          <w:color w:val="auto"/>
          <w:szCs w:val="21"/>
        </w:rPr>
      </w:pPr>
      <w:r>
        <w:rPr>
          <w:rFonts w:hint="eastAsia" w:ascii="宋体" w:hAnsi="宋体" w:eastAsia="宋体"/>
          <w:color w:val="auto"/>
          <w:szCs w:val="21"/>
        </w:rPr>
        <w:t>法定代表人或授权代表（签字）</w:t>
      </w:r>
    </w:p>
    <w:p w14:paraId="24B89733">
      <w:pPr>
        <w:jc w:val="left"/>
        <w:rPr>
          <w:rFonts w:ascii="宋体" w:hAnsi="宋体" w:eastAsia="宋体"/>
          <w:color w:val="auto"/>
          <w:sz w:val="28"/>
          <w:szCs w:val="28"/>
        </w:rPr>
      </w:pPr>
    </w:p>
    <w:p w14:paraId="34DF3E81">
      <w:pPr>
        <w:jc w:val="left"/>
        <w:rPr>
          <w:rFonts w:ascii="宋体" w:hAnsi="宋体" w:eastAsia="宋体"/>
          <w:color w:val="auto"/>
          <w:sz w:val="28"/>
          <w:szCs w:val="28"/>
        </w:rPr>
      </w:pPr>
    </w:p>
    <w:p w14:paraId="0101DC79">
      <w:pPr>
        <w:jc w:val="left"/>
        <w:rPr>
          <w:rFonts w:ascii="宋体" w:hAnsi="宋体" w:eastAsia="宋体"/>
          <w:color w:val="auto"/>
          <w:sz w:val="28"/>
          <w:szCs w:val="28"/>
        </w:rPr>
      </w:pPr>
    </w:p>
    <w:p w14:paraId="5840F4D5">
      <w:pPr>
        <w:jc w:val="center"/>
        <w:rPr>
          <w:rFonts w:ascii="宋体" w:hAnsi="宋体" w:eastAsia="宋体"/>
          <w:color w:val="auto"/>
          <w:sz w:val="28"/>
          <w:szCs w:val="28"/>
        </w:rPr>
      </w:pPr>
      <w:r>
        <w:rPr>
          <w:rFonts w:hint="eastAsia" w:ascii="宋体" w:hAnsi="宋体" w:eastAsia="宋体"/>
          <w:color w:val="auto"/>
          <w:sz w:val="28"/>
          <w:szCs w:val="28"/>
        </w:rPr>
        <w:t>六、供应商诚信情况的承诺</w:t>
      </w:r>
    </w:p>
    <w:p w14:paraId="48B4F576">
      <w:pPr>
        <w:jc w:val="left"/>
        <w:rPr>
          <w:rFonts w:ascii="宋体" w:hAnsi="宋体" w:eastAsia="宋体"/>
          <w:color w:val="auto"/>
          <w:sz w:val="28"/>
          <w:szCs w:val="28"/>
        </w:rPr>
      </w:pPr>
    </w:p>
    <w:p w14:paraId="77E126D2">
      <w:pPr>
        <w:jc w:val="left"/>
        <w:rPr>
          <w:rFonts w:ascii="宋体" w:hAnsi="宋体" w:eastAsia="宋体"/>
          <w:color w:val="auto"/>
          <w:szCs w:val="21"/>
        </w:rPr>
      </w:pPr>
      <w:r>
        <w:rPr>
          <w:rFonts w:hint="eastAsia" w:ascii="宋体" w:hAnsi="宋体" w:eastAsia="宋体"/>
          <w:color w:val="auto"/>
          <w:szCs w:val="21"/>
        </w:rPr>
        <w:t>成都市锦江区</w:t>
      </w:r>
      <w:r>
        <w:rPr>
          <w:rFonts w:hint="eastAsia" w:ascii="宋体" w:hAnsi="宋体" w:eastAsia="宋体"/>
          <w:color w:val="auto"/>
          <w:szCs w:val="21"/>
          <w:lang w:eastAsia="zh-CN"/>
        </w:rPr>
        <w:t>三圣</w:t>
      </w:r>
      <w:r>
        <w:rPr>
          <w:rFonts w:hint="eastAsia" w:ascii="宋体" w:hAnsi="宋体" w:eastAsia="宋体"/>
          <w:color w:val="auto"/>
          <w:szCs w:val="21"/>
        </w:rPr>
        <w:t>社区卫生服务中心：</w:t>
      </w:r>
    </w:p>
    <w:p w14:paraId="306BDAA0">
      <w:pPr>
        <w:jc w:val="left"/>
        <w:rPr>
          <w:rFonts w:ascii="宋体" w:hAnsi="宋体" w:eastAsia="宋体"/>
          <w:color w:val="auto"/>
          <w:szCs w:val="21"/>
        </w:rPr>
      </w:pPr>
    </w:p>
    <w:p w14:paraId="01D9209E">
      <w:pPr>
        <w:ind w:firstLine="420" w:firstLineChars="200"/>
        <w:jc w:val="left"/>
        <w:rPr>
          <w:rFonts w:ascii="宋体" w:hAnsi="宋体" w:eastAsia="宋体"/>
          <w:color w:val="auto"/>
          <w:szCs w:val="21"/>
        </w:rPr>
      </w:pPr>
      <w:r>
        <w:rPr>
          <w:rFonts w:hint="eastAsia" w:ascii="宋体" w:hAnsi="宋体" w:eastAsia="宋体"/>
          <w:color w:val="auto"/>
          <w:szCs w:val="21"/>
        </w:rPr>
        <w:t>依据《四川省政府采购当事人诚信管理办法》（川财采【2015】33号文件）的规定，我公司承诺在参加本项目政府采购活动中无失信行为。</w:t>
      </w:r>
    </w:p>
    <w:p w14:paraId="11E17148">
      <w:pPr>
        <w:jc w:val="left"/>
        <w:rPr>
          <w:rFonts w:ascii="宋体" w:hAnsi="宋体" w:eastAsia="宋体"/>
          <w:color w:val="auto"/>
          <w:szCs w:val="21"/>
        </w:rPr>
      </w:pPr>
      <w:r>
        <w:rPr>
          <w:rFonts w:hint="eastAsia" w:ascii="宋体" w:hAnsi="宋体" w:eastAsia="宋体"/>
          <w:color w:val="auto"/>
          <w:szCs w:val="21"/>
        </w:rPr>
        <w:t xml:space="preserve">   本公司对上述承诺内容事项真实性负责。如经查实上述承诺的内容事项存在虚假，我公司愿意接受以提供虚假材料谋取中标追究法律责任。</w:t>
      </w:r>
    </w:p>
    <w:p w14:paraId="5696101D">
      <w:pPr>
        <w:jc w:val="left"/>
        <w:rPr>
          <w:rFonts w:ascii="宋体" w:hAnsi="宋体" w:eastAsia="宋体"/>
          <w:color w:val="auto"/>
          <w:szCs w:val="21"/>
        </w:rPr>
      </w:pPr>
    </w:p>
    <w:p w14:paraId="1F82EC23">
      <w:pPr>
        <w:jc w:val="left"/>
        <w:rPr>
          <w:rFonts w:ascii="宋体" w:hAnsi="宋体" w:eastAsia="宋体"/>
          <w:color w:val="auto"/>
          <w:szCs w:val="21"/>
        </w:rPr>
      </w:pPr>
    </w:p>
    <w:p w14:paraId="2DEBA86F">
      <w:pPr>
        <w:jc w:val="left"/>
        <w:rPr>
          <w:rFonts w:ascii="宋体" w:hAnsi="宋体" w:eastAsia="宋体"/>
          <w:color w:val="auto"/>
          <w:szCs w:val="21"/>
        </w:rPr>
      </w:pPr>
    </w:p>
    <w:p w14:paraId="2F0D85DF">
      <w:pPr>
        <w:jc w:val="left"/>
        <w:rPr>
          <w:rFonts w:ascii="宋体" w:hAnsi="宋体" w:eastAsia="宋体"/>
          <w:color w:val="auto"/>
          <w:szCs w:val="21"/>
        </w:rPr>
      </w:pPr>
    </w:p>
    <w:p w14:paraId="02A987F6">
      <w:pPr>
        <w:jc w:val="left"/>
        <w:rPr>
          <w:rFonts w:ascii="宋体" w:hAnsi="宋体" w:eastAsia="宋体"/>
          <w:color w:val="auto"/>
          <w:szCs w:val="21"/>
        </w:rPr>
      </w:pPr>
    </w:p>
    <w:p w14:paraId="0A90AE24">
      <w:pPr>
        <w:ind w:firstLine="420" w:firstLineChars="200"/>
        <w:jc w:val="left"/>
        <w:rPr>
          <w:rFonts w:ascii="宋体" w:hAnsi="宋体" w:eastAsia="宋体"/>
          <w:color w:val="auto"/>
          <w:szCs w:val="21"/>
        </w:rPr>
      </w:pPr>
      <w:r>
        <w:rPr>
          <w:rFonts w:hint="eastAsia" w:ascii="宋体" w:hAnsi="宋体" w:eastAsia="宋体"/>
          <w:color w:val="auto"/>
          <w:szCs w:val="21"/>
        </w:rPr>
        <w:t>投标人名称：        （盖单位公章）</w:t>
      </w:r>
    </w:p>
    <w:p w14:paraId="7B6ED9AC">
      <w:pPr>
        <w:ind w:firstLine="420" w:firstLineChars="200"/>
        <w:jc w:val="left"/>
        <w:rPr>
          <w:rFonts w:ascii="宋体" w:hAnsi="宋体" w:eastAsia="宋体"/>
          <w:color w:val="auto"/>
          <w:szCs w:val="21"/>
        </w:rPr>
      </w:pPr>
      <w:r>
        <w:rPr>
          <w:rFonts w:hint="eastAsia" w:ascii="宋体" w:hAnsi="宋体" w:eastAsia="宋体"/>
          <w:color w:val="auto"/>
          <w:szCs w:val="21"/>
        </w:rPr>
        <w:t>法定代表人或授权代表（签字）：</w:t>
      </w:r>
    </w:p>
    <w:p w14:paraId="1A7D7067">
      <w:pPr>
        <w:ind w:firstLine="420" w:firstLineChars="200"/>
        <w:jc w:val="left"/>
        <w:rPr>
          <w:rFonts w:ascii="宋体" w:hAnsi="宋体" w:eastAsia="宋体"/>
          <w:color w:val="auto"/>
          <w:szCs w:val="21"/>
        </w:rPr>
      </w:pPr>
      <w:r>
        <w:rPr>
          <w:rFonts w:hint="eastAsia" w:ascii="宋体" w:hAnsi="宋体" w:eastAsia="宋体"/>
          <w:color w:val="auto"/>
          <w:szCs w:val="21"/>
        </w:rPr>
        <w:t>日期：</w:t>
      </w:r>
    </w:p>
    <w:p w14:paraId="5BDBC1F8">
      <w:pPr>
        <w:jc w:val="left"/>
        <w:rPr>
          <w:rFonts w:ascii="宋体" w:hAnsi="宋体" w:eastAsia="宋体"/>
          <w:color w:val="auto"/>
          <w:szCs w:val="21"/>
        </w:rPr>
      </w:pPr>
    </w:p>
    <w:p w14:paraId="26507B92">
      <w:pPr>
        <w:jc w:val="left"/>
        <w:rPr>
          <w:rFonts w:ascii="宋体" w:hAnsi="宋体" w:eastAsia="宋体"/>
          <w:color w:val="auto"/>
          <w:sz w:val="28"/>
          <w:szCs w:val="28"/>
        </w:rPr>
      </w:pPr>
    </w:p>
    <w:p w14:paraId="1C09261E">
      <w:pPr>
        <w:jc w:val="left"/>
        <w:rPr>
          <w:rFonts w:ascii="宋体" w:hAnsi="宋体" w:eastAsia="宋体"/>
          <w:color w:val="auto"/>
          <w:sz w:val="28"/>
          <w:szCs w:val="28"/>
        </w:rPr>
      </w:pPr>
    </w:p>
    <w:p w14:paraId="5C50F130">
      <w:pPr>
        <w:jc w:val="left"/>
        <w:rPr>
          <w:rFonts w:ascii="宋体" w:hAnsi="宋体" w:eastAsia="宋体"/>
          <w:color w:val="auto"/>
          <w:sz w:val="28"/>
          <w:szCs w:val="28"/>
        </w:rPr>
      </w:pPr>
    </w:p>
    <w:p w14:paraId="222ADFC2">
      <w:pPr>
        <w:jc w:val="left"/>
        <w:rPr>
          <w:rFonts w:ascii="宋体" w:hAnsi="宋体" w:eastAsia="宋体"/>
          <w:color w:val="auto"/>
          <w:sz w:val="28"/>
          <w:szCs w:val="28"/>
        </w:rPr>
      </w:pPr>
    </w:p>
    <w:p w14:paraId="69E8FEBB">
      <w:pPr>
        <w:jc w:val="left"/>
        <w:rPr>
          <w:rFonts w:ascii="宋体" w:hAnsi="宋体" w:eastAsia="宋体"/>
          <w:color w:val="auto"/>
          <w:sz w:val="28"/>
          <w:szCs w:val="28"/>
        </w:rPr>
      </w:pPr>
    </w:p>
    <w:p w14:paraId="18B5FCCE">
      <w:pPr>
        <w:jc w:val="left"/>
        <w:rPr>
          <w:rFonts w:ascii="宋体" w:hAnsi="宋体" w:eastAsia="宋体"/>
          <w:color w:val="auto"/>
          <w:sz w:val="28"/>
          <w:szCs w:val="28"/>
        </w:rPr>
      </w:pPr>
    </w:p>
    <w:p w14:paraId="0116008D">
      <w:pPr>
        <w:jc w:val="left"/>
        <w:rPr>
          <w:rFonts w:ascii="宋体" w:hAnsi="宋体" w:eastAsia="宋体"/>
          <w:color w:val="auto"/>
          <w:sz w:val="28"/>
          <w:szCs w:val="28"/>
        </w:rPr>
      </w:pPr>
    </w:p>
    <w:p w14:paraId="505606B3">
      <w:pPr>
        <w:jc w:val="left"/>
        <w:rPr>
          <w:rFonts w:ascii="宋体" w:hAnsi="宋体" w:eastAsia="宋体"/>
          <w:color w:val="auto"/>
          <w:sz w:val="28"/>
          <w:szCs w:val="28"/>
        </w:rPr>
      </w:pPr>
    </w:p>
    <w:p w14:paraId="5F339F7F">
      <w:pPr>
        <w:jc w:val="left"/>
        <w:rPr>
          <w:rFonts w:ascii="宋体" w:hAnsi="宋体" w:eastAsia="宋体"/>
          <w:color w:val="auto"/>
          <w:sz w:val="28"/>
          <w:szCs w:val="28"/>
        </w:rPr>
      </w:pPr>
    </w:p>
    <w:p w14:paraId="42422FE0">
      <w:pPr>
        <w:rPr>
          <w:rFonts w:hint="eastAsia" w:ascii="宋体" w:hAnsi="宋体" w:eastAsia="宋体"/>
          <w:color w:val="auto"/>
          <w:sz w:val="28"/>
          <w:szCs w:val="28"/>
        </w:rPr>
      </w:pPr>
      <w:r>
        <w:rPr>
          <w:rFonts w:hint="eastAsia" w:ascii="宋体" w:hAnsi="宋体" w:eastAsia="宋体"/>
          <w:color w:val="auto"/>
          <w:sz w:val="28"/>
          <w:szCs w:val="28"/>
        </w:rPr>
        <w:br w:type="page"/>
      </w:r>
    </w:p>
    <w:p w14:paraId="21592AC8">
      <w:pPr>
        <w:jc w:val="center"/>
        <w:rPr>
          <w:rFonts w:ascii="宋体" w:hAnsi="宋体" w:eastAsia="宋体"/>
          <w:color w:val="auto"/>
          <w:sz w:val="28"/>
          <w:szCs w:val="28"/>
        </w:rPr>
      </w:pPr>
      <w:r>
        <w:rPr>
          <w:rFonts w:hint="eastAsia" w:ascii="宋体" w:hAnsi="宋体" w:eastAsia="宋体"/>
          <w:color w:val="auto"/>
          <w:sz w:val="28"/>
          <w:szCs w:val="28"/>
        </w:rPr>
        <w:t>七、本项目参加政府采购活动的投标人在前三年内不得具有行贿犯罪记录的承诺</w:t>
      </w:r>
    </w:p>
    <w:p w14:paraId="485D8E3D">
      <w:pPr>
        <w:jc w:val="left"/>
        <w:rPr>
          <w:rFonts w:ascii="宋体" w:hAnsi="宋体" w:eastAsia="宋体"/>
          <w:color w:val="auto"/>
          <w:sz w:val="28"/>
          <w:szCs w:val="28"/>
        </w:rPr>
      </w:pPr>
    </w:p>
    <w:p w14:paraId="5587EDC1">
      <w:pPr>
        <w:jc w:val="left"/>
        <w:rPr>
          <w:rFonts w:ascii="宋体" w:hAnsi="宋体" w:eastAsia="宋体"/>
          <w:color w:val="auto"/>
          <w:szCs w:val="21"/>
        </w:rPr>
      </w:pPr>
      <w:r>
        <w:rPr>
          <w:rFonts w:hint="eastAsia" w:ascii="宋体" w:hAnsi="宋体" w:eastAsia="宋体"/>
          <w:color w:val="auto"/>
          <w:szCs w:val="21"/>
        </w:rPr>
        <w:t>成都市锦江区</w:t>
      </w:r>
      <w:r>
        <w:rPr>
          <w:rFonts w:hint="eastAsia" w:ascii="宋体" w:hAnsi="宋体" w:eastAsia="宋体"/>
          <w:color w:val="auto"/>
          <w:szCs w:val="21"/>
          <w:lang w:eastAsia="zh-CN"/>
        </w:rPr>
        <w:t>三圣</w:t>
      </w:r>
      <w:r>
        <w:rPr>
          <w:rFonts w:hint="eastAsia" w:ascii="宋体" w:hAnsi="宋体" w:eastAsia="宋体"/>
          <w:color w:val="auto"/>
          <w:szCs w:val="21"/>
        </w:rPr>
        <w:t>社区卫生服务中心：</w:t>
      </w:r>
    </w:p>
    <w:p w14:paraId="77FC231B">
      <w:pPr>
        <w:ind w:firstLine="420" w:firstLineChars="200"/>
        <w:jc w:val="left"/>
        <w:rPr>
          <w:rFonts w:ascii="宋体" w:hAnsi="宋体" w:eastAsia="宋体"/>
          <w:color w:val="auto"/>
          <w:szCs w:val="21"/>
        </w:rPr>
      </w:pPr>
      <w:r>
        <w:rPr>
          <w:rFonts w:hint="eastAsia" w:ascii="宋体" w:hAnsi="宋体" w:eastAsia="宋体"/>
          <w:color w:val="auto"/>
          <w:szCs w:val="21"/>
        </w:rPr>
        <w:t>依据《关于在政府采购活动中全面开展行贿犯罪档案查询的通知》（川检会〔2016〕5号）的规定，我公司承诺在参加本项目政府采购活动前三年中我司及其现任法定代表人、主要负责人不具有行贿犯罪记录。</w:t>
      </w:r>
    </w:p>
    <w:p w14:paraId="0D52E39B">
      <w:pPr>
        <w:ind w:firstLine="420" w:firstLineChars="200"/>
        <w:jc w:val="left"/>
        <w:rPr>
          <w:rFonts w:ascii="宋体" w:hAnsi="宋体" w:eastAsia="宋体"/>
          <w:color w:val="auto"/>
          <w:szCs w:val="21"/>
        </w:rPr>
      </w:pPr>
      <w:r>
        <w:rPr>
          <w:rFonts w:hint="eastAsia" w:ascii="宋体" w:hAnsi="宋体" w:eastAsia="宋体"/>
          <w:color w:val="auto"/>
          <w:szCs w:val="21"/>
        </w:rPr>
        <w:t>本公司对上述承诺内容事项真实性负责。如经查实上述承诺的内容事项存在虚假，我公司愿意接受以提供虚假材料谋取中标追究法律责任。</w:t>
      </w:r>
    </w:p>
    <w:p w14:paraId="0688F39E">
      <w:pPr>
        <w:ind w:firstLine="420" w:firstLineChars="200"/>
        <w:jc w:val="left"/>
        <w:rPr>
          <w:rFonts w:ascii="宋体" w:hAnsi="宋体" w:eastAsia="宋体"/>
          <w:color w:val="auto"/>
          <w:szCs w:val="21"/>
        </w:rPr>
      </w:pPr>
      <w:r>
        <w:rPr>
          <w:rFonts w:hint="eastAsia" w:ascii="宋体" w:hAnsi="宋体" w:eastAsia="宋体"/>
          <w:color w:val="auto"/>
          <w:szCs w:val="21"/>
        </w:rPr>
        <w:t>且同时承诺如我司中标，中标后提交行贿犯罪记录查询结果给采购人查验。</w:t>
      </w:r>
    </w:p>
    <w:p w14:paraId="6F97BF92">
      <w:pPr>
        <w:jc w:val="left"/>
        <w:rPr>
          <w:rFonts w:ascii="宋体" w:hAnsi="宋体" w:eastAsia="宋体"/>
          <w:color w:val="auto"/>
          <w:szCs w:val="21"/>
        </w:rPr>
      </w:pPr>
    </w:p>
    <w:p w14:paraId="4BCBC552">
      <w:pPr>
        <w:jc w:val="left"/>
        <w:rPr>
          <w:rFonts w:ascii="宋体" w:hAnsi="宋体" w:eastAsia="宋体"/>
          <w:color w:val="auto"/>
          <w:szCs w:val="21"/>
        </w:rPr>
      </w:pPr>
    </w:p>
    <w:p w14:paraId="68999E0A">
      <w:pPr>
        <w:jc w:val="left"/>
        <w:rPr>
          <w:rFonts w:ascii="宋体" w:hAnsi="宋体" w:eastAsia="宋体"/>
          <w:color w:val="auto"/>
          <w:szCs w:val="21"/>
        </w:rPr>
      </w:pPr>
    </w:p>
    <w:p w14:paraId="405209E6">
      <w:pPr>
        <w:jc w:val="left"/>
        <w:rPr>
          <w:rFonts w:ascii="宋体" w:hAnsi="宋体" w:eastAsia="宋体"/>
          <w:color w:val="auto"/>
          <w:szCs w:val="21"/>
        </w:rPr>
      </w:pPr>
    </w:p>
    <w:p w14:paraId="1081C78C">
      <w:pPr>
        <w:ind w:firstLine="420" w:firstLineChars="200"/>
        <w:jc w:val="left"/>
        <w:rPr>
          <w:rFonts w:ascii="宋体" w:hAnsi="宋体" w:eastAsia="宋体"/>
          <w:color w:val="auto"/>
          <w:szCs w:val="21"/>
        </w:rPr>
      </w:pPr>
      <w:r>
        <w:rPr>
          <w:rFonts w:hint="eastAsia" w:ascii="宋体" w:hAnsi="宋体" w:eastAsia="宋体"/>
          <w:color w:val="auto"/>
          <w:szCs w:val="21"/>
        </w:rPr>
        <w:t>投标人名称：        （盖单位公章）</w:t>
      </w:r>
    </w:p>
    <w:p w14:paraId="1BCCDFE5">
      <w:pPr>
        <w:ind w:firstLine="420" w:firstLineChars="200"/>
        <w:jc w:val="left"/>
        <w:rPr>
          <w:rFonts w:ascii="宋体" w:hAnsi="宋体" w:eastAsia="宋体"/>
          <w:color w:val="auto"/>
          <w:szCs w:val="21"/>
        </w:rPr>
      </w:pPr>
      <w:r>
        <w:rPr>
          <w:rFonts w:hint="eastAsia" w:ascii="宋体" w:hAnsi="宋体" w:eastAsia="宋体"/>
          <w:color w:val="auto"/>
          <w:szCs w:val="21"/>
        </w:rPr>
        <w:t>法定代表人或授权代表（签字）：</w:t>
      </w:r>
    </w:p>
    <w:p w14:paraId="3F4F7FBE">
      <w:pPr>
        <w:ind w:firstLine="420" w:firstLineChars="200"/>
        <w:jc w:val="left"/>
        <w:rPr>
          <w:rFonts w:ascii="宋体" w:hAnsi="宋体" w:eastAsia="宋体"/>
          <w:color w:val="auto"/>
          <w:szCs w:val="21"/>
        </w:rPr>
      </w:pPr>
      <w:r>
        <w:rPr>
          <w:rFonts w:hint="eastAsia" w:ascii="宋体" w:hAnsi="宋体" w:eastAsia="宋体"/>
          <w:color w:val="auto"/>
          <w:szCs w:val="21"/>
        </w:rPr>
        <w:t>日期：</w:t>
      </w:r>
    </w:p>
    <w:p w14:paraId="4784A221">
      <w:pPr>
        <w:jc w:val="left"/>
        <w:rPr>
          <w:rFonts w:ascii="宋体" w:hAnsi="宋体" w:eastAsia="宋体"/>
          <w:color w:val="auto"/>
          <w:szCs w:val="21"/>
        </w:rPr>
      </w:pPr>
    </w:p>
    <w:p w14:paraId="53E1AFDE">
      <w:pPr>
        <w:jc w:val="left"/>
        <w:rPr>
          <w:rFonts w:ascii="宋体" w:hAnsi="宋体" w:eastAsia="宋体"/>
          <w:color w:val="auto"/>
          <w:szCs w:val="21"/>
        </w:rPr>
      </w:pPr>
    </w:p>
    <w:p w14:paraId="54BE60D9">
      <w:pPr>
        <w:jc w:val="left"/>
        <w:rPr>
          <w:rFonts w:ascii="宋体" w:hAnsi="宋体" w:eastAsia="宋体"/>
          <w:color w:val="auto"/>
          <w:szCs w:val="21"/>
        </w:rPr>
      </w:pPr>
    </w:p>
    <w:p w14:paraId="5A3FD03F">
      <w:pPr>
        <w:jc w:val="left"/>
        <w:rPr>
          <w:rFonts w:ascii="宋体" w:hAnsi="宋体" w:eastAsia="宋体"/>
          <w:color w:val="auto"/>
          <w:szCs w:val="21"/>
        </w:rPr>
      </w:pPr>
    </w:p>
    <w:p w14:paraId="6F5413E6">
      <w:pPr>
        <w:jc w:val="left"/>
        <w:rPr>
          <w:rFonts w:ascii="宋体" w:hAnsi="宋体" w:eastAsia="宋体"/>
          <w:color w:val="auto"/>
          <w:szCs w:val="21"/>
        </w:rPr>
      </w:pPr>
    </w:p>
    <w:p w14:paraId="370213AB">
      <w:pPr>
        <w:jc w:val="left"/>
        <w:rPr>
          <w:rFonts w:ascii="宋体" w:hAnsi="宋体" w:eastAsia="宋体"/>
          <w:color w:val="auto"/>
          <w:szCs w:val="21"/>
        </w:rPr>
      </w:pPr>
    </w:p>
    <w:p w14:paraId="41194E4A">
      <w:pPr>
        <w:jc w:val="left"/>
        <w:rPr>
          <w:rFonts w:ascii="宋体" w:hAnsi="宋体" w:eastAsia="宋体"/>
          <w:color w:val="auto"/>
          <w:szCs w:val="21"/>
        </w:rPr>
      </w:pPr>
    </w:p>
    <w:p w14:paraId="6806B55D">
      <w:pPr>
        <w:jc w:val="left"/>
        <w:rPr>
          <w:rFonts w:ascii="宋体" w:hAnsi="宋体" w:eastAsia="宋体"/>
          <w:color w:val="auto"/>
          <w:szCs w:val="21"/>
        </w:rPr>
      </w:pPr>
    </w:p>
    <w:p w14:paraId="749F1490">
      <w:pPr>
        <w:jc w:val="left"/>
        <w:rPr>
          <w:rFonts w:ascii="宋体" w:hAnsi="宋体" w:eastAsia="宋体"/>
          <w:color w:val="auto"/>
          <w:szCs w:val="21"/>
        </w:rPr>
      </w:pPr>
    </w:p>
    <w:p w14:paraId="2593536C">
      <w:pPr>
        <w:jc w:val="left"/>
        <w:rPr>
          <w:rFonts w:ascii="宋体" w:hAnsi="宋体" w:eastAsia="宋体"/>
          <w:color w:val="auto"/>
          <w:szCs w:val="21"/>
        </w:rPr>
      </w:pPr>
    </w:p>
    <w:p w14:paraId="2E4B958F">
      <w:pPr>
        <w:jc w:val="left"/>
        <w:rPr>
          <w:rFonts w:ascii="宋体" w:hAnsi="宋体" w:eastAsia="宋体"/>
          <w:color w:val="auto"/>
          <w:szCs w:val="21"/>
        </w:rPr>
      </w:pPr>
    </w:p>
    <w:p w14:paraId="2C217FC3">
      <w:pPr>
        <w:jc w:val="left"/>
        <w:rPr>
          <w:rFonts w:ascii="宋体" w:hAnsi="宋体" w:eastAsia="宋体"/>
          <w:color w:val="auto"/>
          <w:szCs w:val="21"/>
        </w:rPr>
      </w:pPr>
    </w:p>
    <w:p w14:paraId="288EB02A">
      <w:pPr>
        <w:jc w:val="left"/>
        <w:rPr>
          <w:rFonts w:ascii="宋体" w:hAnsi="宋体" w:eastAsia="宋体"/>
          <w:color w:val="auto"/>
          <w:szCs w:val="21"/>
        </w:rPr>
      </w:pPr>
    </w:p>
    <w:p w14:paraId="16774760">
      <w:pPr>
        <w:jc w:val="left"/>
        <w:rPr>
          <w:rFonts w:ascii="宋体" w:hAnsi="宋体" w:eastAsia="宋体"/>
          <w:color w:val="auto"/>
          <w:szCs w:val="21"/>
        </w:rPr>
      </w:pPr>
    </w:p>
    <w:p w14:paraId="1CB2DF06">
      <w:pPr>
        <w:jc w:val="left"/>
        <w:rPr>
          <w:rFonts w:ascii="宋体" w:hAnsi="宋体" w:eastAsia="宋体"/>
          <w:color w:val="auto"/>
          <w:szCs w:val="21"/>
        </w:rPr>
      </w:pPr>
    </w:p>
    <w:p w14:paraId="24655687">
      <w:pPr>
        <w:jc w:val="left"/>
        <w:rPr>
          <w:rFonts w:ascii="宋体" w:hAnsi="宋体" w:eastAsia="宋体"/>
          <w:color w:val="auto"/>
          <w:szCs w:val="21"/>
        </w:rPr>
      </w:pPr>
    </w:p>
    <w:p w14:paraId="54B67DC0">
      <w:pPr>
        <w:jc w:val="left"/>
        <w:rPr>
          <w:rFonts w:ascii="宋体" w:hAnsi="宋体" w:eastAsia="宋体"/>
          <w:color w:val="auto"/>
          <w:szCs w:val="21"/>
        </w:rPr>
      </w:pPr>
    </w:p>
    <w:p w14:paraId="75A7042B">
      <w:pPr>
        <w:jc w:val="left"/>
        <w:rPr>
          <w:rFonts w:ascii="宋体" w:hAnsi="宋体" w:eastAsia="宋体"/>
          <w:color w:val="auto"/>
          <w:szCs w:val="21"/>
        </w:rPr>
      </w:pPr>
    </w:p>
    <w:p w14:paraId="22CE69C8">
      <w:pPr>
        <w:ind w:right="560"/>
        <w:rPr>
          <w:rFonts w:ascii="宋体" w:hAnsi="宋体" w:eastAsia="宋体"/>
          <w:color w:val="auto"/>
          <w:szCs w:val="21"/>
        </w:rPr>
      </w:pPr>
    </w:p>
    <w:p w14:paraId="146437E9">
      <w:pPr>
        <w:ind w:right="560"/>
        <w:jc w:val="center"/>
        <w:rPr>
          <w:rFonts w:ascii="宋体" w:hAnsi="宋体" w:eastAsia="宋体"/>
          <w:color w:val="auto"/>
          <w:sz w:val="28"/>
          <w:szCs w:val="28"/>
        </w:rPr>
      </w:pPr>
      <w:r>
        <w:rPr>
          <w:rFonts w:hint="eastAsia" w:ascii="宋体" w:hAnsi="宋体" w:eastAsia="宋体"/>
          <w:color w:val="auto"/>
          <w:sz w:val="28"/>
          <w:szCs w:val="28"/>
        </w:rPr>
        <w:t>八、近三年在经营活动中没有重大违法记录的书面声明</w:t>
      </w:r>
    </w:p>
    <w:p w14:paraId="77B890D3">
      <w:pPr>
        <w:jc w:val="left"/>
        <w:rPr>
          <w:rFonts w:ascii="宋体" w:hAnsi="宋体" w:eastAsia="宋体"/>
          <w:color w:val="auto"/>
          <w:szCs w:val="21"/>
        </w:rPr>
      </w:pPr>
    </w:p>
    <w:p w14:paraId="49C0940F">
      <w:pPr>
        <w:jc w:val="left"/>
        <w:rPr>
          <w:rFonts w:ascii="宋体" w:hAnsi="宋体" w:eastAsia="宋体"/>
          <w:color w:val="auto"/>
          <w:szCs w:val="21"/>
        </w:rPr>
      </w:pPr>
      <w:r>
        <w:rPr>
          <w:rFonts w:hint="eastAsia" w:ascii="宋体" w:hAnsi="宋体" w:eastAsia="宋体"/>
          <w:color w:val="auto"/>
          <w:szCs w:val="21"/>
        </w:rPr>
        <w:t>成都市锦江区</w:t>
      </w:r>
      <w:r>
        <w:rPr>
          <w:rFonts w:hint="eastAsia" w:ascii="宋体" w:hAnsi="宋体" w:eastAsia="宋体"/>
          <w:color w:val="auto"/>
          <w:szCs w:val="21"/>
          <w:lang w:eastAsia="zh-CN"/>
        </w:rPr>
        <w:t>三圣</w:t>
      </w:r>
      <w:r>
        <w:rPr>
          <w:rFonts w:hint="eastAsia" w:ascii="宋体" w:hAnsi="宋体" w:eastAsia="宋体"/>
          <w:color w:val="auto"/>
          <w:szCs w:val="21"/>
        </w:rPr>
        <w:t>社区卫生服务中心：</w:t>
      </w:r>
    </w:p>
    <w:p w14:paraId="3A861631">
      <w:pPr>
        <w:jc w:val="left"/>
        <w:rPr>
          <w:rFonts w:ascii="宋体" w:hAnsi="宋体" w:eastAsia="宋体"/>
          <w:color w:val="auto"/>
          <w:szCs w:val="21"/>
        </w:rPr>
      </w:pPr>
      <w:r>
        <w:rPr>
          <w:rFonts w:ascii="宋体" w:hAnsi="宋体" w:eastAsia="宋体"/>
          <w:color w:val="auto"/>
          <w:szCs w:val="21"/>
        </w:rPr>
        <w:t xml:space="preserve">    </w:t>
      </w:r>
      <w:r>
        <w:rPr>
          <w:rFonts w:hint="eastAsia" w:ascii="宋体" w:hAnsi="宋体" w:eastAsia="宋体"/>
          <w:color w:val="auto"/>
          <w:szCs w:val="21"/>
        </w:rPr>
        <w:t>本公司                     （公司名称）参加                  （项目名称）的投标活动，现承诺我公司在参加政府采购活动前三年内，在经营活动中没有重大违法记录。</w:t>
      </w:r>
    </w:p>
    <w:p w14:paraId="5F4F6239">
      <w:pPr>
        <w:jc w:val="left"/>
        <w:rPr>
          <w:rFonts w:ascii="宋体" w:hAnsi="宋体" w:eastAsia="宋体"/>
          <w:color w:val="auto"/>
          <w:szCs w:val="21"/>
        </w:rPr>
      </w:pPr>
      <w:r>
        <w:rPr>
          <w:rFonts w:hint="eastAsia" w:ascii="宋体" w:hAnsi="宋体" w:eastAsia="宋体"/>
          <w:color w:val="auto"/>
          <w:szCs w:val="21"/>
        </w:rPr>
        <w:t xml:space="preserve">   本公司对上述承诺内容事项真实性负责。如经查实上述承诺的内容事项存在虚假，我公司愿意接受以提供虚假材料谋取中标追究法律责任。</w:t>
      </w:r>
    </w:p>
    <w:p w14:paraId="24CA7E4B">
      <w:pPr>
        <w:jc w:val="left"/>
        <w:rPr>
          <w:rFonts w:ascii="宋体" w:hAnsi="宋体" w:eastAsia="宋体"/>
          <w:color w:val="auto"/>
          <w:szCs w:val="21"/>
        </w:rPr>
      </w:pPr>
    </w:p>
    <w:p w14:paraId="3FB37994">
      <w:pPr>
        <w:jc w:val="left"/>
        <w:rPr>
          <w:rFonts w:ascii="宋体" w:hAnsi="宋体" w:eastAsia="宋体"/>
          <w:color w:val="auto"/>
          <w:szCs w:val="21"/>
        </w:rPr>
      </w:pPr>
    </w:p>
    <w:p w14:paraId="2A1C9721">
      <w:pPr>
        <w:ind w:firstLine="420" w:firstLineChars="200"/>
        <w:jc w:val="left"/>
        <w:rPr>
          <w:rFonts w:ascii="宋体" w:hAnsi="宋体" w:eastAsia="宋体"/>
          <w:color w:val="auto"/>
          <w:szCs w:val="21"/>
        </w:rPr>
      </w:pPr>
      <w:r>
        <w:rPr>
          <w:rFonts w:hint="eastAsia" w:ascii="宋体" w:hAnsi="宋体" w:eastAsia="宋体"/>
          <w:color w:val="auto"/>
          <w:szCs w:val="21"/>
        </w:rPr>
        <w:t xml:space="preserve">说明：其中重大违法记录中的较大数额罚款的具体金额标准，采购项目所属行业行政主管部门对较大数额罚款金额标准有明文规定的，可以根据采购项目所属行业行政主管部门规定的较大数额罚款金额标准为准；采购项目所属行业行政主管部门对较大数额罚款金额标准未明文规定的，应当以四川省人民政府规定的行政处罚罚款听证标准金额为准。 </w:t>
      </w:r>
    </w:p>
    <w:p w14:paraId="0FB46767">
      <w:pPr>
        <w:jc w:val="left"/>
        <w:rPr>
          <w:rFonts w:ascii="宋体" w:hAnsi="宋体" w:eastAsia="宋体"/>
          <w:color w:val="auto"/>
          <w:szCs w:val="21"/>
        </w:rPr>
      </w:pPr>
    </w:p>
    <w:p w14:paraId="6A642FDF">
      <w:pPr>
        <w:jc w:val="left"/>
        <w:rPr>
          <w:rFonts w:ascii="宋体" w:hAnsi="宋体" w:eastAsia="宋体"/>
          <w:color w:val="auto"/>
          <w:szCs w:val="21"/>
        </w:rPr>
      </w:pPr>
    </w:p>
    <w:p w14:paraId="6B25C8BB">
      <w:pPr>
        <w:ind w:firstLine="420" w:firstLineChars="200"/>
        <w:jc w:val="left"/>
        <w:rPr>
          <w:rFonts w:ascii="宋体" w:hAnsi="宋体" w:eastAsia="宋体"/>
          <w:color w:val="auto"/>
          <w:szCs w:val="21"/>
        </w:rPr>
      </w:pPr>
      <w:r>
        <w:rPr>
          <w:rFonts w:hint="eastAsia" w:ascii="宋体" w:hAnsi="宋体" w:eastAsia="宋体"/>
          <w:color w:val="auto"/>
          <w:szCs w:val="21"/>
        </w:rPr>
        <w:t>供应商名称：        （盖章）</w:t>
      </w:r>
    </w:p>
    <w:p w14:paraId="25154337">
      <w:pPr>
        <w:ind w:firstLine="420" w:firstLineChars="200"/>
        <w:jc w:val="left"/>
        <w:rPr>
          <w:rFonts w:ascii="宋体" w:hAnsi="宋体" w:eastAsia="宋体"/>
          <w:color w:val="auto"/>
          <w:szCs w:val="21"/>
        </w:rPr>
      </w:pPr>
      <w:r>
        <w:rPr>
          <w:rFonts w:hint="eastAsia" w:ascii="宋体" w:hAnsi="宋体" w:eastAsia="宋体"/>
          <w:color w:val="auto"/>
          <w:szCs w:val="21"/>
        </w:rPr>
        <w:t>法定代表人或授权代表（签字）：</w:t>
      </w:r>
    </w:p>
    <w:p w14:paraId="7A85E13B">
      <w:pPr>
        <w:ind w:firstLine="420" w:firstLineChars="200"/>
        <w:jc w:val="left"/>
        <w:rPr>
          <w:rFonts w:ascii="宋体" w:hAnsi="宋体" w:eastAsia="宋体"/>
          <w:color w:val="auto"/>
          <w:szCs w:val="21"/>
        </w:rPr>
      </w:pPr>
      <w:r>
        <w:rPr>
          <w:rFonts w:hint="eastAsia" w:ascii="宋体" w:hAnsi="宋体" w:eastAsia="宋体"/>
          <w:color w:val="auto"/>
          <w:szCs w:val="21"/>
        </w:rPr>
        <w:t>日期：</w:t>
      </w:r>
    </w:p>
    <w:p w14:paraId="5EBCDC0F">
      <w:pPr>
        <w:jc w:val="left"/>
        <w:rPr>
          <w:rFonts w:ascii="宋体" w:hAnsi="宋体" w:eastAsia="宋体"/>
          <w:color w:val="auto"/>
          <w:szCs w:val="21"/>
        </w:rPr>
      </w:pPr>
    </w:p>
    <w:p w14:paraId="153F6E4E">
      <w:pPr>
        <w:jc w:val="left"/>
        <w:rPr>
          <w:rFonts w:ascii="宋体" w:hAnsi="宋体" w:eastAsia="宋体"/>
          <w:color w:val="auto"/>
          <w:szCs w:val="21"/>
        </w:rPr>
      </w:pPr>
    </w:p>
    <w:p w14:paraId="72038F4A">
      <w:pPr>
        <w:jc w:val="left"/>
        <w:rPr>
          <w:rFonts w:ascii="宋体" w:hAnsi="宋体" w:eastAsia="宋体"/>
          <w:color w:val="auto"/>
          <w:szCs w:val="21"/>
        </w:rPr>
      </w:pPr>
    </w:p>
    <w:p w14:paraId="243E5449">
      <w:pPr>
        <w:jc w:val="left"/>
        <w:rPr>
          <w:rFonts w:ascii="宋体" w:hAnsi="宋体" w:eastAsia="宋体"/>
          <w:color w:val="auto"/>
          <w:szCs w:val="21"/>
        </w:rPr>
      </w:pPr>
    </w:p>
    <w:p w14:paraId="5BB613B7">
      <w:pPr>
        <w:jc w:val="left"/>
        <w:rPr>
          <w:rFonts w:ascii="宋体" w:hAnsi="宋体" w:eastAsia="宋体"/>
          <w:color w:val="auto"/>
          <w:szCs w:val="21"/>
        </w:rPr>
      </w:pPr>
    </w:p>
    <w:p w14:paraId="240797DE">
      <w:pPr>
        <w:jc w:val="left"/>
        <w:rPr>
          <w:rFonts w:ascii="宋体" w:hAnsi="宋体" w:eastAsia="宋体"/>
          <w:color w:val="auto"/>
          <w:szCs w:val="21"/>
        </w:rPr>
      </w:pPr>
    </w:p>
    <w:p w14:paraId="4481F001">
      <w:pPr>
        <w:jc w:val="left"/>
        <w:rPr>
          <w:rFonts w:ascii="宋体" w:hAnsi="宋体" w:eastAsia="宋体"/>
          <w:color w:val="auto"/>
          <w:szCs w:val="21"/>
        </w:rPr>
      </w:pPr>
    </w:p>
    <w:p w14:paraId="5D6B2B4F">
      <w:pPr>
        <w:jc w:val="left"/>
        <w:rPr>
          <w:rFonts w:ascii="宋体" w:hAnsi="宋体" w:eastAsia="宋体"/>
          <w:color w:val="auto"/>
          <w:szCs w:val="21"/>
        </w:rPr>
      </w:pPr>
    </w:p>
    <w:p w14:paraId="253DB6D1">
      <w:pPr>
        <w:jc w:val="left"/>
        <w:rPr>
          <w:rFonts w:ascii="宋体" w:hAnsi="宋体" w:eastAsia="宋体"/>
          <w:color w:val="auto"/>
          <w:szCs w:val="21"/>
        </w:rPr>
      </w:pPr>
    </w:p>
    <w:p w14:paraId="30593953">
      <w:pPr>
        <w:jc w:val="left"/>
        <w:rPr>
          <w:rFonts w:ascii="宋体" w:hAnsi="宋体" w:eastAsia="宋体"/>
          <w:color w:val="auto"/>
          <w:szCs w:val="21"/>
        </w:rPr>
      </w:pPr>
    </w:p>
    <w:p w14:paraId="179B3E8B">
      <w:pPr>
        <w:jc w:val="left"/>
        <w:rPr>
          <w:rFonts w:ascii="宋体" w:hAnsi="宋体" w:eastAsia="宋体"/>
          <w:color w:val="auto"/>
          <w:szCs w:val="21"/>
        </w:rPr>
      </w:pPr>
    </w:p>
    <w:p w14:paraId="511FEE53">
      <w:pPr>
        <w:jc w:val="left"/>
        <w:rPr>
          <w:rFonts w:ascii="宋体" w:hAnsi="宋体" w:eastAsia="宋体"/>
          <w:color w:val="auto"/>
          <w:szCs w:val="21"/>
        </w:rPr>
      </w:pPr>
    </w:p>
    <w:p w14:paraId="6FC23796">
      <w:pPr>
        <w:jc w:val="left"/>
        <w:rPr>
          <w:rFonts w:ascii="宋体" w:hAnsi="宋体" w:eastAsia="宋体"/>
          <w:color w:val="auto"/>
          <w:szCs w:val="21"/>
        </w:rPr>
      </w:pPr>
    </w:p>
    <w:p w14:paraId="6EE825DE">
      <w:pPr>
        <w:jc w:val="left"/>
        <w:rPr>
          <w:rFonts w:ascii="宋体" w:hAnsi="宋体" w:eastAsia="宋体"/>
          <w:color w:val="auto"/>
          <w:szCs w:val="21"/>
        </w:rPr>
      </w:pPr>
    </w:p>
    <w:p w14:paraId="73C82378">
      <w:pPr>
        <w:jc w:val="left"/>
        <w:rPr>
          <w:rFonts w:ascii="宋体" w:hAnsi="宋体" w:eastAsia="宋体"/>
          <w:color w:val="auto"/>
          <w:szCs w:val="21"/>
        </w:rPr>
      </w:pPr>
    </w:p>
    <w:p w14:paraId="488845EB">
      <w:pPr>
        <w:jc w:val="left"/>
        <w:rPr>
          <w:rFonts w:ascii="宋体" w:hAnsi="宋体" w:eastAsia="宋体"/>
          <w:color w:val="auto"/>
          <w:szCs w:val="21"/>
        </w:rPr>
      </w:pPr>
    </w:p>
    <w:p w14:paraId="4C32FC17">
      <w:pPr>
        <w:jc w:val="left"/>
        <w:rPr>
          <w:rFonts w:ascii="宋体" w:hAnsi="宋体" w:eastAsia="宋体"/>
          <w:color w:val="auto"/>
          <w:szCs w:val="21"/>
        </w:rPr>
      </w:pPr>
    </w:p>
    <w:p w14:paraId="34702549">
      <w:pPr>
        <w:jc w:val="left"/>
        <w:rPr>
          <w:rFonts w:ascii="宋体" w:hAnsi="宋体" w:eastAsia="宋体"/>
          <w:color w:val="auto"/>
          <w:szCs w:val="21"/>
        </w:rPr>
      </w:pPr>
    </w:p>
    <w:p w14:paraId="7755D904">
      <w:pPr>
        <w:jc w:val="left"/>
        <w:rPr>
          <w:rFonts w:ascii="宋体" w:hAnsi="宋体" w:eastAsia="宋体"/>
          <w:color w:val="auto"/>
          <w:szCs w:val="21"/>
        </w:rPr>
      </w:pPr>
    </w:p>
    <w:p w14:paraId="1E12E9A3">
      <w:pPr>
        <w:jc w:val="left"/>
        <w:rPr>
          <w:rFonts w:ascii="宋体" w:hAnsi="宋体" w:eastAsia="宋体"/>
          <w:color w:val="auto"/>
          <w:szCs w:val="21"/>
        </w:rPr>
      </w:pPr>
    </w:p>
    <w:p w14:paraId="51DCA2A5">
      <w:pPr>
        <w:jc w:val="center"/>
        <w:rPr>
          <w:rFonts w:ascii="宋体" w:hAnsi="宋体" w:eastAsia="宋体"/>
          <w:b/>
          <w:color w:val="auto"/>
          <w:sz w:val="28"/>
          <w:szCs w:val="28"/>
        </w:rPr>
      </w:pPr>
      <w:r>
        <w:rPr>
          <w:rFonts w:hint="eastAsia" w:ascii="宋体" w:hAnsi="宋体" w:eastAsia="宋体"/>
          <w:b/>
          <w:color w:val="auto"/>
          <w:sz w:val="28"/>
          <w:szCs w:val="28"/>
        </w:rPr>
        <w:t>第三章  投标人和投标产品的资格、资质性及其他类似效力要求</w:t>
      </w:r>
    </w:p>
    <w:p w14:paraId="39AE3D81">
      <w:pPr>
        <w:jc w:val="left"/>
        <w:rPr>
          <w:rFonts w:ascii="宋体" w:hAnsi="宋体" w:eastAsia="宋体"/>
          <w:color w:val="auto"/>
          <w:szCs w:val="21"/>
        </w:rPr>
      </w:pPr>
    </w:p>
    <w:p w14:paraId="297C312C">
      <w:pPr>
        <w:ind w:firstLine="420" w:firstLineChars="200"/>
        <w:jc w:val="left"/>
        <w:rPr>
          <w:rFonts w:ascii="宋体" w:hAnsi="宋体" w:eastAsia="宋体"/>
          <w:color w:val="auto"/>
          <w:szCs w:val="21"/>
        </w:rPr>
      </w:pPr>
      <w:r>
        <w:rPr>
          <w:rFonts w:hint="eastAsia" w:ascii="宋体" w:hAnsi="宋体" w:eastAsia="宋体"/>
          <w:color w:val="auto"/>
          <w:szCs w:val="21"/>
        </w:rPr>
        <w:t>一、投标人资格、资质性及其他类似效力要求</w:t>
      </w:r>
    </w:p>
    <w:p w14:paraId="3F9971B1">
      <w:pPr>
        <w:ind w:firstLine="420" w:firstLineChars="200"/>
        <w:jc w:val="left"/>
        <w:rPr>
          <w:rFonts w:ascii="宋体" w:hAnsi="宋体" w:eastAsia="宋体"/>
          <w:color w:val="auto"/>
          <w:szCs w:val="21"/>
        </w:rPr>
      </w:pPr>
      <w:r>
        <w:rPr>
          <w:rFonts w:hint="eastAsia" w:ascii="宋体" w:hAnsi="宋体" w:eastAsia="宋体"/>
          <w:color w:val="auto"/>
          <w:szCs w:val="21"/>
        </w:rPr>
        <w:t>1.投标人应具备《中华人民共和国政府采购法》第二十二条规定的下列条件：</w:t>
      </w:r>
    </w:p>
    <w:p w14:paraId="4CD86899">
      <w:pPr>
        <w:ind w:firstLine="420" w:firstLineChars="200"/>
        <w:jc w:val="left"/>
        <w:rPr>
          <w:rFonts w:ascii="宋体" w:hAnsi="宋体" w:eastAsia="宋体"/>
          <w:color w:val="auto"/>
          <w:szCs w:val="21"/>
        </w:rPr>
      </w:pPr>
      <w:r>
        <w:rPr>
          <w:rFonts w:hint="eastAsia" w:ascii="宋体" w:hAnsi="宋体" w:eastAsia="宋体"/>
          <w:color w:val="auto"/>
          <w:szCs w:val="21"/>
        </w:rPr>
        <w:t>1)</w:t>
      </w:r>
      <w:r>
        <w:rPr>
          <w:rFonts w:hint="eastAsia" w:ascii="宋体" w:hAnsi="宋体" w:eastAsia="宋体"/>
          <w:color w:val="auto"/>
          <w:szCs w:val="21"/>
        </w:rPr>
        <w:tab/>
      </w:r>
      <w:r>
        <w:rPr>
          <w:rFonts w:hint="eastAsia" w:ascii="宋体" w:hAnsi="宋体" w:eastAsia="宋体"/>
          <w:color w:val="auto"/>
          <w:szCs w:val="21"/>
        </w:rPr>
        <w:t>具有独立承担民事责任的能力；</w:t>
      </w:r>
    </w:p>
    <w:p w14:paraId="0D3725A7">
      <w:pPr>
        <w:ind w:firstLine="420" w:firstLineChars="200"/>
        <w:jc w:val="left"/>
        <w:rPr>
          <w:rFonts w:ascii="宋体" w:hAnsi="宋体" w:eastAsia="宋体"/>
          <w:color w:val="auto"/>
          <w:szCs w:val="21"/>
        </w:rPr>
      </w:pPr>
      <w:r>
        <w:rPr>
          <w:rFonts w:hint="eastAsia" w:ascii="宋体" w:hAnsi="宋体" w:eastAsia="宋体"/>
          <w:color w:val="auto"/>
          <w:szCs w:val="21"/>
        </w:rPr>
        <w:t>2)</w:t>
      </w:r>
      <w:r>
        <w:rPr>
          <w:rFonts w:hint="eastAsia" w:ascii="宋体" w:hAnsi="宋体" w:eastAsia="宋体"/>
          <w:color w:val="auto"/>
          <w:szCs w:val="21"/>
        </w:rPr>
        <w:tab/>
      </w:r>
      <w:r>
        <w:rPr>
          <w:rFonts w:hint="eastAsia" w:ascii="宋体" w:hAnsi="宋体" w:eastAsia="宋体"/>
          <w:color w:val="auto"/>
          <w:szCs w:val="21"/>
        </w:rPr>
        <w:t>具有良好的商业信誉和健全的财务会计制度；</w:t>
      </w:r>
    </w:p>
    <w:p w14:paraId="18427D04">
      <w:pPr>
        <w:ind w:firstLine="420" w:firstLineChars="200"/>
        <w:jc w:val="left"/>
        <w:rPr>
          <w:rFonts w:ascii="宋体" w:hAnsi="宋体" w:eastAsia="宋体"/>
          <w:color w:val="auto"/>
          <w:szCs w:val="21"/>
        </w:rPr>
      </w:pPr>
      <w:r>
        <w:rPr>
          <w:rFonts w:hint="eastAsia" w:ascii="宋体" w:hAnsi="宋体" w:eastAsia="宋体"/>
          <w:color w:val="auto"/>
          <w:szCs w:val="21"/>
        </w:rPr>
        <w:t>3)</w:t>
      </w:r>
      <w:r>
        <w:rPr>
          <w:rFonts w:hint="eastAsia" w:ascii="宋体" w:hAnsi="宋体" w:eastAsia="宋体"/>
          <w:color w:val="auto"/>
          <w:szCs w:val="21"/>
        </w:rPr>
        <w:tab/>
      </w:r>
      <w:r>
        <w:rPr>
          <w:rFonts w:hint="eastAsia" w:ascii="宋体" w:hAnsi="宋体" w:eastAsia="宋体"/>
          <w:color w:val="auto"/>
          <w:szCs w:val="21"/>
        </w:rPr>
        <w:t>具有履行合同所必需的设备和专业技术能力；</w:t>
      </w:r>
    </w:p>
    <w:p w14:paraId="13CB199E">
      <w:pPr>
        <w:ind w:firstLine="420" w:firstLineChars="200"/>
        <w:jc w:val="left"/>
        <w:rPr>
          <w:rFonts w:ascii="宋体" w:hAnsi="宋体" w:eastAsia="宋体"/>
          <w:color w:val="auto"/>
          <w:szCs w:val="21"/>
        </w:rPr>
      </w:pPr>
      <w:r>
        <w:rPr>
          <w:rFonts w:hint="eastAsia" w:ascii="宋体" w:hAnsi="宋体" w:eastAsia="宋体"/>
          <w:color w:val="auto"/>
          <w:szCs w:val="21"/>
        </w:rPr>
        <w:t>4)</w:t>
      </w:r>
      <w:r>
        <w:rPr>
          <w:rFonts w:hint="eastAsia" w:ascii="宋体" w:hAnsi="宋体" w:eastAsia="宋体"/>
          <w:color w:val="auto"/>
          <w:szCs w:val="21"/>
        </w:rPr>
        <w:tab/>
      </w:r>
      <w:r>
        <w:rPr>
          <w:rFonts w:hint="eastAsia" w:ascii="宋体" w:hAnsi="宋体" w:eastAsia="宋体"/>
          <w:color w:val="auto"/>
          <w:szCs w:val="21"/>
        </w:rPr>
        <w:t>有依法缴纳税收和社会保障资金的良好记录；</w:t>
      </w:r>
    </w:p>
    <w:p w14:paraId="1C8C10D9">
      <w:pPr>
        <w:ind w:firstLine="420" w:firstLineChars="200"/>
        <w:jc w:val="left"/>
        <w:rPr>
          <w:rFonts w:ascii="宋体" w:hAnsi="宋体" w:eastAsia="宋体"/>
          <w:color w:val="auto"/>
          <w:szCs w:val="21"/>
        </w:rPr>
      </w:pPr>
      <w:r>
        <w:rPr>
          <w:rFonts w:hint="eastAsia" w:ascii="宋体" w:hAnsi="宋体" w:eastAsia="宋体"/>
          <w:color w:val="auto"/>
          <w:szCs w:val="21"/>
        </w:rPr>
        <w:t>5)</w:t>
      </w:r>
      <w:r>
        <w:rPr>
          <w:rFonts w:hint="eastAsia" w:ascii="宋体" w:hAnsi="宋体" w:eastAsia="宋体"/>
          <w:color w:val="auto"/>
          <w:szCs w:val="21"/>
        </w:rPr>
        <w:tab/>
      </w:r>
      <w:r>
        <w:rPr>
          <w:rFonts w:hint="eastAsia" w:ascii="宋体" w:hAnsi="宋体" w:eastAsia="宋体"/>
          <w:color w:val="auto"/>
          <w:szCs w:val="21"/>
        </w:rPr>
        <w:t>参加本次采购活动前三年内，在经营活动中没有重大违法记录；</w:t>
      </w:r>
    </w:p>
    <w:p w14:paraId="00ECF696">
      <w:pPr>
        <w:ind w:firstLine="420" w:firstLineChars="200"/>
        <w:jc w:val="left"/>
        <w:rPr>
          <w:rFonts w:ascii="宋体" w:hAnsi="宋体" w:eastAsia="宋体"/>
          <w:color w:val="auto"/>
          <w:szCs w:val="21"/>
        </w:rPr>
      </w:pPr>
      <w:r>
        <w:rPr>
          <w:rFonts w:hint="eastAsia" w:ascii="宋体" w:hAnsi="宋体" w:eastAsia="宋体"/>
          <w:color w:val="auto"/>
          <w:szCs w:val="21"/>
        </w:rPr>
        <w:t>6)</w:t>
      </w:r>
      <w:r>
        <w:rPr>
          <w:rFonts w:hint="eastAsia" w:ascii="宋体" w:hAnsi="宋体" w:eastAsia="宋体"/>
          <w:color w:val="auto"/>
          <w:szCs w:val="21"/>
        </w:rPr>
        <w:tab/>
      </w:r>
      <w:r>
        <w:rPr>
          <w:rFonts w:hint="eastAsia" w:ascii="宋体" w:hAnsi="宋体" w:eastAsia="宋体"/>
          <w:color w:val="auto"/>
          <w:szCs w:val="21"/>
        </w:rPr>
        <w:t>法律、行政法规规定的其他条件。</w:t>
      </w:r>
    </w:p>
    <w:p w14:paraId="5922D8F6">
      <w:pPr>
        <w:ind w:firstLine="420" w:firstLineChars="200"/>
        <w:jc w:val="left"/>
        <w:rPr>
          <w:rFonts w:ascii="宋体" w:hAnsi="宋体" w:eastAsia="宋体"/>
          <w:color w:val="auto"/>
          <w:szCs w:val="21"/>
        </w:rPr>
      </w:pPr>
      <w:r>
        <w:rPr>
          <w:rFonts w:hint="eastAsia" w:ascii="宋体" w:hAnsi="宋体" w:eastAsia="宋体"/>
          <w:color w:val="auto"/>
          <w:szCs w:val="21"/>
        </w:rPr>
        <w:t>2.其他类似效力要求：投标供应商法定代表人授权参加本次投标活动的合法代表（非独立法人机构提供具有独立承担民事责任的能力的负责人授权参加本次投标活动的合法代表）。</w:t>
      </w:r>
    </w:p>
    <w:p w14:paraId="4DD32811">
      <w:pPr>
        <w:jc w:val="left"/>
        <w:rPr>
          <w:rFonts w:ascii="宋体" w:hAnsi="宋体" w:eastAsia="宋体"/>
          <w:color w:val="auto"/>
          <w:szCs w:val="21"/>
        </w:rPr>
      </w:pPr>
    </w:p>
    <w:p w14:paraId="7421E1B0">
      <w:pPr>
        <w:jc w:val="left"/>
        <w:rPr>
          <w:rFonts w:ascii="宋体" w:hAnsi="宋体" w:eastAsia="宋体"/>
          <w:color w:val="auto"/>
          <w:szCs w:val="21"/>
        </w:rPr>
      </w:pPr>
    </w:p>
    <w:p w14:paraId="35335DB3">
      <w:pPr>
        <w:jc w:val="left"/>
        <w:rPr>
          <w:rFonts w:ascii="宋体" w:hAnsi="宋体" w:eastAsia="宋体"/>
          <w:color w:val="auto"/>
          <w:szCs w:val="21"/>
        </w:rPr>
      </w:pPr>
    </w:p>
    <w:p w14:paraId="74711217">
      <w:pPr>
        <w:jc w:val="left"/>
        <w:rPr>
          <w:rFonts w:ascii="宋体" w:hAnsi="宋体" w:eastAsia="宋体"/>
          <w:color w:val="auto"/>
          <w:szCs w:val="21"/>
        </w:rPr>
      </w:pPr>
    </w:p>
    <w:p w14:paraId="206C6963">
      <w:pPr>
        <w:jc w:val="left"/>
        <w:rPr>
          <w:rFonts w:ascii="宋体" w:hAnsi="宋体" w:eastAsia="宋体"/>
          <w:color w:val="auto"/>
          <w:szCs w:val="21"/>
        </w:rPr>
      </w:pPr>
    </w:p>
    <w:p w14:paraId="4632938B">
      <w:pPr>
        <w:jc w:val="left"/>
        <w:rPr>
          <w:rFonts w:ascii="宋体" w:hAnsi="宋体" w:eastAsia="宋体"/>
          <w:color w:val="auto"/>
          <w:szCs w:val="21"/>
        </w:rPr>
      </w:pPr>
    </w:p>
    <w:p w14:paraId="05589104">
      <w:pPr>
        <w:jc w:val="left"/>
        <w:rPr>
          <w:rFonts w:ascii="宋体" w:hAnsi="宋体" w:eastAsia="宋体"/>
          <w:color w:val="auto"/>
          <w:szCs w:val="21"/>
        </w:rPr>
      </w:pPr>
    </w:p>
    <w:p w14:paraId="5ECB9199">
      <w:pPr>
        <w:jc w:val="left"/>
        <w:rPr>
          <w:rFonts w:ascii="宋体" w:hAnsi="宋体" w:eastAsia="宋体"/>
          <w:color w:val="auto"/>
          <w:szCs w:val="21"/>
        </w:rPr>
      </w:pPr>
    </w:p>
    <w:p w14:paraId="24E81452">
      <w:pPr>
        <w:jc w:val="left"/>
        <w:rPr>
          <w:rFonts w:ascii="宋体" w:hAnsi="宋体" w:eastAsia="宋体"/>
          <w:color w:val="auto"/>
          <w:szCs w:val="21"/>
        </w:rPr>
      </w:pPr>
    </w:p>
    <w:p w14:paraId="1B9E5AB6">
      <w:pPr>
        <w:jc w:val="left"/>
        <w:rPr>
          <w:rFonts w:ascii="宋体" w:hAnsi="宋体" w:eastAsia="宋体"/>
          <w:color w:val="auto"/>
          <w:szCs w:val="21"/>
        </w:rPr>
      </w:pPr>
    </w:p>
    <w:p w14:paraId="77AD4507">
      <w:pPr>
        <w:jc w:val="left"/>
        <w:rPr>
          <w:rFonts w:ascii="宋体" w:hAnsi="宋体" w:eastAsia="宋体"/>
          <w:color w:val="auto"/>
          <w:szCs w:val="21"/>
        </w:rPr>
      </w:pPr>
    </w:p>
    <w:p w14:paraId="7C2149C1">
      <w:pPr>
        <w:jc w:val="left"/>
        <w:rPr>
          <w:rFonts w:ascii="宋体" w:hAnsi="宋体" w:eastAsia="宋体"/>
          <w:color w:val="auto"/>
          <w:szCs w:val="21"/>
        </w:rPr>
      </w:pPr>
    </w:p>
    <w:p w14:paraId="5A802AC8">
      <w:pPr>
        <w:jc w:val="left"/>
        <w:rPr>
          <w:rFonts w:ascii="宋体" w:hAnsi="宋体" w:eastAsia="宋体"/>
          <w:color w:val="auto"/>
          <w:szCs w:val="21"/>
        </w:rPr>
      </w:pPr>
    </w:p>
    <w:p w14:paraId="302DCD91">
      <w:pPr>
        <w:jc w:val="left"/>
        <w:rPr>
          <w:rFonts w:ascii="宋体" w:hAnsi="宋体" w:eastAsia="宋体"/>
          <w:color w:val="auto"/>
          <w:szCs w:val="21"/>
        </w:rPr>
      </w:pPr>
    </w:p>
    <w:p w14:paraId="3553EB14">
      <w:pPr>
        <w:jc w:val="left"/>
        <w:rPr>
          <w:rFonts w:ascii="宋体" w:hAnsi="宋体" w:eastAsia="宋体"/>
          <w:color w:val="auto"/>
          <w:szCs w:val="21"/>
        </w:rPr>
      </w:pPr>
    </w:p>
    <w:p w14:paraId="019D0DEC">
      <w:pPr>
        <w:jc w:val="left"/>
        <w:rPr>
          <w:rFonts w:ascii="宋体" w:hAnsi="宋体" w:eastAsia="宋体"/>
          <w:color w:val="auto"/>
          <w:szCs w:val="21"/>
        </w:rPr>
      </w:pPr>
    </w:p>
    <w:p w14:paraId="4370DBE3">
      <w:pPr>
        <w:jc w:val="left"/>
        <w:rPr>
          <w:rFonts w:ascii="宋体" w:hAnsi="宋体" w:eastAsia="宋体"/>
          <w:color w:val="auto"/>
          <w:szCs w:val="21"/>
        </w:rPr>
      </w:pPr>
    </w:p>
    <w:p w14:paraId="4682380C">
      <w:pPr>
        <w:jc w:val="left"/>
        <w:rPr>
          <w:rFonts w:ascii="宋体" w:hAnsi="宋体" w:eastAsia="宋体"/>
          <w:color w:val="auto"/>
          <w:szCs w:val="21"/>
        </w:rPr>
      </w:pPr>
    </w:p>
    <w:p w14:paraId="08A9A0B7">
      <w:pPr>
        <w:jc w:val="left"/>
        <w:rPr>
          <w:rFonts w:ascii="宋体" w:hAnsi="宋体" w:eastAsia="宋体"/>
          <w:color w:val="auto"/>
          <w:szCs w:val="21"/>
        </w:rPr>
      </w:pPr>
    </w:p>
    <w:p w14:paraId="1D421BE8">
      <w:pPr>
        <w:jc w:val="left"/>
        <w:rPr>
          <w:rFonts w:ascii="宋体" w:hAnsi="宋体" w:eastAsia="宋体"/>
          <w:color w:val="auto"/>
          <w:szCs w:val="21"/>
        </w:rPr>
      </w:pPr>
    </w:p>
    <w:p w14:paraId="611F1D66">
      <w:pPr>
        <w:jc w:val="left"/>
        <w:rPr>
          <w:rFonts w:ascii="宋体" w:hAnsi="宋体" w:eastAsia="宋体"/>
          <w:color w:val="auto"/>
          <w:szCs w:val="21"/>
        </w:rPr>
      </w:pPr>
    </w:p>
    <w:p w14:paraId="335E256F">
      <w:pPr>
        <w:jc w:val="left"/>
        <w:rPr>
          <w:rFonts w:ascii="宋体" w:hAnsi="宋体" w:eastAsia="宋体"/>
          <w:color w:val="auto"/>
          <w:szCs w:val="21"/>
        </w:rPr>
      </w:pPr>
    </w:p>
    <w:p w14:paraId="17028EDC">
      <w:pPr>
        <w:jc w:val="left"/>
        <w:rPr>
          <w:rFonts w:ascii="宋体" w:hAnsi="宋体" w:eastAsia="宋体"/>
          <w:color w:val="auto"/>
          <w:szCs w:val="21"/>
        </w:rPr>
      </w:pPr>
    </w:p>
    <w:p w14:paraId="2D7BAB2D">
      <w:pPr>
        <w:jc w:val="left"/>
        <w:rPr>
          <w:rFonts w:ascii="宋体" w:hAnsi="宋体" w:eastAsia="宋体"/>
          <w:color w:val="auto"/>
          <w:szCs w:val="21"/>
        </w:rPr>
      </w:pPr>
    </w:p>
    <w:p w14:paraId="4DA1529E">
      <w:pPr>
        <w:jc w:val="left"/>
        <w:rPr>
          <w:rFonts w:ascii="宋体" w:hAnsi="宋体" w:eastAsia="宋体"/>
          <w:color w:val="auto"/>
          <w:szCs w:val="21"/>
        </w:rPr>
      </w:pPr>
    </w:p>
    <w:p w14:paraId="6F82DAB5">
      <w:pPr>
        <w:jc w:val="left"/>
        <w:rPr>
          <w:rFonts w:ascii="宋体" w:hAnsi="宋体" w:eastAsia="宋体"/>
          <w:color w:val="auto"/>
          <w:szCs w:val="21"/>
        </w:rPr>
      </w:pPr>
    </w:p>
    <w:p w14:paraId="2815705C">
      <w:pPr>
        <w:rPr>
          <w:rFonts w:hint="eastAsia" w:ascii="宋体" w:hAnsi="宋体" w:eastAsia="宋体"/>
          <w:b/>
          <w:color w:val="auto"/>
          <w:sz w:val="28"/>
          <w:szCs w:val="28"/>
        </w:rPr>
      </w:pPr>
      <w:r>
        <w:rPr>
          <w:rFonts w:hint="eastAsia" w:ascii="宋体" w:hAnsi="宋体" w:eastAsia="宋体"/>
          <w:b/>
          <w:color w:val="auto"/>
          <w:sz w:val="28"/>
          <w:szCs w:val="28"/>
        </w:rPr>
        <w:br w:type="page"/>
      </w:r>
    </w:p>
    <w:p w14:paraId="784120A9">
      <w:pPr>
        <w:jc w:val="center"/>
        <w:rPr>
          <w:rFonts w:ascii="宋体" w:hAnsi="宋体" w:eastAsia="宋体"/>
          <w:b/>
          <w:color w:val="auto"/>
          <w:sz w:val="28"/>
          <w:szCs w:val="28"/>
        </w:rPr>
      </w:pPr>
      <w:r>
        <w:rPr>
          <w:rFonts w:hint="eastAsia" w:ascii="宋体" w:hAnsi="宋体" w:eastAsia="宋体"/>
          <w:b/>
          <w:color w:val="auto"/>
          <w:sz w:val="28"/>
          <w:szCs w:val="28"/>
        </w:rPr>
        <w:t>第四章  投标人应当提供的资格、资质性及其他类似效力要求的相关证明材料以及其他材料目录</w:t>
      </w:r>
    </w:p>
    <w:p w14:paraId="7C119F3D">
      <w:pPr>
        <w:jc w:val="left"/>
        <w:rPr>
          <w:rFonts w:hint="eastAsia" w:ascii="宋体" w:hAnsi="宋体" w:eastAsia="宋体"/>
          <w:color w:val="auto"/>
          <w:szCs w:val="21"/>
        </w:rPr>
      </w:pPr>
    </w:p>
    <w:p w14:paraId="1ECD0809">
      <w:pPr>
        <w:jc w:val="left"/>
        <w:rPr>
          <w:rFonts w:ascii="宋体" w:hAnsi="宋体" w:eastAsia="宋体"/>
          <w:color w:val="auto"/>
          <w:szCs w:val="21"/>
        </w:rPr>
      </w:pPr>
    </w:p>
    <w:tbl>
      <w:tblPr>
        <w:tblStyle w:val="9"/>
        <w:tblpPr w:leftFromText="180" w:rightFromText="180" w:vertAnchor="text" w:horzAnchor="margin" w:tblpY="4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59"/>
        <w:gridCol w:w="7987"/>
      </w:tblGrid>
      <w:tr w14:paraId="456A9D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14:paraId="589999CB">
            <w:pPr>
              <w:jc w:val="center"/>
              <w:rPr>
                <w:rFonts w:ascii="宋体" w:hAnsi="宋体" w:eastAsia="宋体"/>
                <w:color w:val="auto"/>
                <w:szCs w:val="21"/>
              </w:rPr>
            </w:pPr>
            <w:r>
              <w:rPr>
                <w:rFonts w:hint="eastAsia" w:ascii="宋体" w:hAnsi="宋体" w:eastAsia="宋体"/>
                <w:color w:val="auto"/>
                <w:szCs w:val="21"/>
              </w:rPr>
              <w:t>序号</w:t>
            </w:r>
          </w:p>
        </w:tc>
        <w:tc>
          <w:tcPr>
            <w:tcW w:w="7987" w:type="dxa"/>
          </w:tcPr>
          <w:p w14:paraId="39D2E274">
            <w:pPr>
              <w:jc w:val="center"/>
              <w:rPr>
                <w:rFonts w:ascii="宋体" w:hAnsi="宋体" w:eastAsia="宋体"/>
                <w:color w:val="auto"/>
                <w:szCs w:val="21"/>
              </w:rPr>
            </w:pPr>
            <w:r>
              <w:rPr>
                <w:rFonts w:hint="eastAsia" w:ascii="宋体" w:hAnsi="宋体" w:eastAsia="宋体"/>
                <w:color w:val="auto"/>
                <w:szCs w:val="21"/>
              </w:rPr>
              <w:t>内容</w:t>
            </w:r>
          </w:p>
        </w:tc>
      </w:tr>
      <w:tr w14:paraId="5946DD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14:paraId="39B8B2EB">
            <w:pPr>
              <w:jc w:val="center"/>
              <w:rPr>
                <w:rFonts w:ascii="宋体" w:hAnsi="宋体" w:eastAsia="宋体"/>
                <w:color w:val="auto"/>
                <w:szCs w:val="21"/>
              </w:rPr>
            </w:pPr>
            <w:r>
              <w:rPr>
                <w:rFonts w:hint="eastAsia" w:ascii="宋体" w:hAnsi="宋体" w:eastAsia="宋体"/>
                <w:color w:val="auto"/>
                <w:szCs w:val="21"/>
              </w:rPr>
              <w:t>1</w:t>
            </w:r>
          </w:p>
        </w:tc>
        <w:tc>
          <w:tcPr>
            <w:tcW w:w="7987" w:type="dxa"/>
          </w:tcPr>
          <w:p w14:paraId="2AEE4EF2">
            <w:pPr>
              <w:jc w:val="left"/>
              <w:rPr>
                <w:rFonts w:ascii="宋体" w:hAnsi="宋体" w:eastAsia="宋体"/>
                <w:color w:val="auto"/>
                <w:szCs w:val="21"/>
              </w:rPr>
            </w:pPr>
            <w:r>
              <w:rPr>
                <w:rFonts w:hint="eastAsia" w:ascii="宋体" w:hAnsi="宋体" w:eastAsia="宋体"/>
                <w:color w:val="auto"/>
                <w:szCs w:val="21"/>
              </w:rPr>
              <w:t>投标函</w:t>
            </w:r>
          </w:p>
        </w:tc>
      </w:tr>
      <w:tr w14:paraId="659916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14:paraId="59B9A5CD">
            <w:pPr>
              <w:jc w:val="center"/>
              <w:rPr>
                <w:rFonts w:ascii="宋体" w:hAnsi="宋体" w:eastAsia="宋体"/>
                <w:color w:val="auto"/>
                <w:szCs w:val="21"/>
              </w:rPr>
            </w:pPr>
            <w:r>
              <w:rPr>
                <w:rFonts w:hint="eastAsia" w:ascii="宋体" w:hAnsi="宋体" w:eastAsia="宋体"/>
                <w:color w:val="auto"/>
                <w:szCs w:val="21"/>
              </w:rPr>
              <w:t>2</w:t>
            </w:r>
          </w:p>
        </w:tc>
        <w:tc>
          <w:tcPr>
            <w:tcW w:w="7987" w:type="dxa"/>
          </w:tcPr>
          <w:p w14:paraId="2BB592AD">
            <w:pPr>
              <w:jc w:val="left"/>
              <w:rPr>
                <w:rFonts w:ascii="宋体" w:hAnsi="宋体" w:eastAsia="宋体"/>
                <w:color w:val="auto"/>
                <w:szCs w:val="21"/>
              </w:rPr>
            </w:pPr>
            <w:r>
              <w:rPr>
                <w:rFonts w:hint="eastAsia" w:ascii="宋体" w:hAnsi="宋体" w:eastAsia="宋体"/>
                <w:color w:val="auto"/>
                <w:szCs w:val="21"/>
              </w:rPr>
              <w:t>承诺函</w:t>
            </w:r>
          </w:p>
        </w:tc>
      </w:tr>
      <w:tr w14:paraId="3896AD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14:paraId="31D80E00">
            <w:pPr>
              <w:jc w:val="center"/>
              <w:rPr>
                <w:rFonts w:ascii="宋体" w:hAnsi="宋体" w:eastAsia="宋体"/>
                <w:color w:val="auto"/>
                <w:szCs w:val="21"/>
              </w:rPr>
            </w:pPr>
            <w:r>
              <w:rPr>
                <w:rFonts w:hint="eastAsia" w:ascii="宋体" w:hAnsi="宋体" w:eastAsia="宋体"/>
                <w:color w:val="auto"/>
                <w:szCs w:val="21"/>
              </w:rPr>
              <w:t>3</w:t>
            </w:r>
          </w:p>
        </w:tc>
        <w:tc>
          <w:tcPr>
            <w:tcW w:w="7987" w:type="dxa"/>
          </w:tcPr>
          <w:p w14:paraId="1E8C5DAE">
            <w:pPr>
              <w:jc w:val="left"/>
              <w:rPr>
                <w:rFonts w:ascii="宋体" w:hAnsi="宋体" w:eastAsia="宋体"/>
                <w:color w:val="auto"/>
                <w:szCs w:val="21"/>
              </w:rPr>
            </w:pPr>
            <w:r>
              <w:rPr>
                <w:rFonts w:hint="eastAsia" w:ascii="宋体" w:hAnsi="宋体" w:eastAsia="宋体"/>
                <w:color w:val="auto"/>
                <w:szCs w:val="21"/>
              </w:rPr>
              <w:t>法定代表人授权书</w:t>
            </w:r>
          </w:p>
        </w:tc>
      </w:tr>
      <w:tr w14:paraId="2E4C66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14:paraId="32F0525F">
            <w:pPr>
              <w:jc w:val="center"/>
              <w:rPr>
                <w:rFonts w:ascii="宋体" w:hAnsi="宋体" w:eastAsia="宋体"/>
                <w:color w:val="auto"/>
                <w:szCs w:val="21"/>
              </w:rPr>
            </w:pPr>
            <w:r>
              <w:rPr>
                <w:rFonts w:hint="eastAsia" w:ascii="宋体" w:hAnsi="宋体" w:eastAsia="宋体"/>
                <w:color w:val="auto"/>
                <w:szCs w:val="21"/>
              </w:rPr>
              <w:t>4</w:t>
            </w:r>
          </w:p>
        </w:tc>
        <w:tc>
          <w:tcPr>
            <w:tcW w:w="7987" w:type="dxa"/>
          </w:tcPr>
          <w:p w14:paraId="6C0C4F23">
            <w:pPr>
              <w:jc w:val="left"/>
              <w:rPr>
                <w:rFonts w:ascii="宋体" w:hAnsi="宋体" w:eastAsia="宋体"/>
                <w:color w:val="auto"/>
                <w:szCs w:val="21"/>
              </w:rPr>
            </w:pPr>
            <w:r>
              <w:rPr>
                <w:rFonts w:hint="eastAsia" w:ascii="宋体" w:hAnsi="宋体" w:eastAsia="宋体"/>
                <w:color w:val="auto"/>
                <w:szCs w:val="21"/>
              </w:rPr>
              <w:t>法定代表人身份证明</w:t>
            </w:r>
          </w:p>
        </w:tc>
      </w:tr>
      <w:tr w14:paraId="2CB80A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14:paraId="09079BBA">
            <w:pPr>
              <w:jc w:val="center"/>
              <w:rPr>
                <w:rFonts w:ascii="宋体" w:hAnsi="宋体" w:eastAsia="宋体"/>
                <w:color w:val="auto"/>
                <w:szCs w:val="21"/>
              </w:rPr>
            </w:pPr>
            <w:r>
              <w:rPr>
                <w:rFonts w:hint="eastAsia" w:ascii="宋体" w:hAnsi="宋体" w:eastAsia="宋体"/>
                <w:color w:val="auto"/>
                <w:szCs w:val="21"/>
              </w:rPr>
              <w:t>5</w:t>
            </w:r>
          </w:p>
        </w:tc>
        <w:tc>
          <w:tcPr>
            <w:tcW w:w="7987" w:type="dxa"/>
          </w:tcPr>
          <w:p w14:paraId="532552EB">
            <w:pPr>
              <w:jc w:val="left"/>
              <w:rPr>
                <w:rFonts w:ascii="宋体" w:hAnsi="宋体" w:eastAsia="宋体"/>
                <w:color w:val="auto"/>
                <w:szCs w:val="21"/>
              </w:rPr>
            </w:pPr>
            <w:r>
              <w:rPr>
                <w:rFonts w:hint="eastAsia" w:ascii="宋体" w:hAnsi="宋体" w:eastAsia="宋体"/>
                <w:color w:val="auto"/>
                <w:szCs w:val="21"/>
              </w:rPr>
              <w:t>报价表</w:t>
            </w:r>
          </w:p>
        </w:tc>
      </w:tr>
      <w:tr w14:paraId="762F0E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14:paraId="3196A3F3">
            <w:pPr>
              <w:jc w:val="center"/>
              <w:rPr>
                <w:rFonts w:ascii="宋体" w:hAnsi="宋体" w:eastAsia="宋体"/>
                <w:color w:val="auto"/>
                <w:szCs w:val="21"/>
              </w:rPr>
            </w:pPr>
            <w:r>
              <w:rPr>
                <w:rFonts w:hint="eastAsia" w:ascii="宋体" w:hAnsi="宋体" w:eastAsia="宋体"/>
                <w:color w:val="auto"/>
                <w:szCs w:val="21"/>
              </w:rPr>
              <w:t>6</w:t>
            </w:r>
          </w:p>
        </w:tc>
        <w:tc>
          <w:tcPr>
            <w:tcW w:w="7987" w:type="dxa"/>
          </w:tcPr>
          <w:p w14:paraId="0AB7E736">
            <w:pPr>
              <w:jc w:val="left"/>
              <w:rPr>
                <w:rFonts w:ascii="宋体" w:hAnsi="宋体" w:eastAsia="宋体"/>
                <w:color w:val="auto"/>
                <w:szCs w:val="21"/>
              </w:rPr>
            </w:pPr>
            <w:r>
              <w:rPr>
                <w:rFonts w:hint="eastAsia" w:ascii="宋体" w:hAnsi="宋体" w:eastAsia="宋体"/>
                <w:color w:val="auto"/>
                <w:szCs w:val="21"/>
              </w:rPr>
              <w:t>供应商诚信情况的承诺</w:t>
            </w:r>
          </w:p>
        </w:tc>
      </w:tr>
      <w:tr w14:paraId="41CC8B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14:paraId="6E0B3ED7">
            <w:pPr>
              <w:jc w:val="center"/>
              <w:rPr>
                <w:rFonts w:ascii="宋体" w:hAnsi="宋体" w:eastAsia="宋体"/>
                <w:color w:val="auto"/>
                <w:szCs w:val="21"/>
              </w:rPr>
            </w:pPr>
            <w:r>
              <w:rPr>
                <w:rFonts w:hint="eastAsia" w:ascii="宋体" w:hAnsi="宋体" w:eastAsia="宋体"/>
                <w:color w:val="auto"/>
                <w:szCs w:val="21"/>
              </w:rPr>
              <w:t>7</w:t>
            </w:r>
          </w:p>
        </w:tc>
        <w:tc>
          <w:tcPr>
            <w:tcW w:w="7987" w:type="dxa"/>
          </w:tcPr>
          <w:p w14:paraId="2461BD86">
            <w:pPr>
              <w:jc w:val="left"/>
              <w:rPr>
                <w:rFonts w:ascii="宋体" w:hAnsi="宋体" w:eastAsia="宋体"/>
                <w:color w:val="auto"/>
                <w:szCs w:val="21"/>
              </w:rPr>
            </w:pPr>
            <w:r>
              <w:rPr>
                <w:rFonts w:hint="eastAsia" w:ascii="宋体" w:hAnsi="宋体" w:eastAsia="宋体"/>
                <w:color w:val="auto"/>
                <w:szCs w:val="21"/>
              </w:rPr>
              <w:t>本项目参加政府采购活动的投标人在前三年内不得具有行贿犯罪记录的承诺</w:t>
            </w:r>
          </w:p>
        </w:tc>
      </w:tr>
      <w:tr w14:paraId="3E8C15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14:paraId="4D874732">
            <w:pPr>
              <w:jc w:val="center"/>
              <w:rPr>
                <w:rFonts w:ascii="宋体" w:hAnsi="宋体" w:eastAsia="宋体"/>
                <w:color w:val="auto"/>
                <w:szCs w:val="21"/>
              </w:rPr>
            </w:pPr>
            <w:r>
              <w:rPr>
                <w:rFonts w:hint="eastAsia" w:ascii="宋体" w:hAnsi="宋体" w:eastAsia="宋体"/>
                <w:color w:val="auto"/>
                <w:szCs w:val="21"/>
              </w:rPr>
              <w:t>8</w:t>
            </w:r>
          </w:p>
        </w:tc>
        <w:tc>
          <w:tcPr>
            <w:tcW w:w="7987" w:type="dxa"/>
          </w:tcPr>
          <w:p w14:paraId="2F529F80">
            <w:pPr>
              <w:jc w:val="left"/>
              <w:rPr>
                <w:rFonts w:ascii="宋体" w:hAnsi="宋体" w:eastAsia="宋体"/>
                <w:color w:val="auto"/>
                <w:szCs w:val="21"/>
              </w:rPr>
            </w:pPr>
            <w:r>
              <w:rPr>
                <w:rFonts w:hint="eastAsia" w:ascii="宋体" w:hAnsi="宋体" w:eastAsia="宋体"/>
                <w:color w:val="auto"/>
                <w:szCs w:val="21"/>
              </w:rPr>
              <w:t>近三年在经营活动中没有重大违法记录的书面声明</w:t>
            </w:r>
          </w:p>
        </w:tc>
      </w:tr>
      <w:tr w14:paraId="67071A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14:paraId="11BDAE8E">
            <w:pPr>
              <w:jc w:val="center"/>
              <w:rPr>
                <w:rFonts w:ascii="宋体" w:hAnsi="宋体" w:eastAsia="宋体"/>
                <w:color w:val="auto"/>
                <w:szCs w:val="21"/>
              </w:rPr>
            </w:pPr>
            <w:r>
              <w:rPr>
                <w:rFonts w:hint="eastAsia" w:ascii="宋体" w:hAnsi="宋体" w:eastAsia="宋体"/>
                <w:color w:val="auto"/>
                <w:szCs w:val="21"/>
              </w:rPr>
              <w:t>9</w:t>
            </w:r>
          </w:p>
        </w:tc>
        <w:tc>
          <w:tcPr>
            <w:tcW w:w="7987" w:type="dxa"/>
          </w:tcPr>
          <w:p w14:paraId="55547001">
            <w:pPr>
              <w:jc w:val="left"/>
              <w:rPr>
                <w:rFonts w:ascii="宋体" w:hAnsi="宋体" w:eastAsia="宋体"/>
                <w:color w:val="auto"/>
                <w:szCs w:val="21"/>
              </w:rPr>
            </w:pPr>
            <w:r>
              <w:rPr>
                <w:rFonts w:hint="eastAsia" w:ascii="宋体" w:hAnsi="宋体" w:eastAsia="宋体"/>
                <w:color w:val="auto"/>
                <w:szCs w:val="21"/>
              </w:rPr>
              <w:t>依法缴纳税收和社会保障金的良好记录证明材料</w:t>
            </w:r>
          </w:p>
        </w:tc>
      </w:tr>
      <w:tr w14:paraId="21941F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14:paraId="787E12B2">
            <w:pPr>
              <w:jc w:val="center"/>
              <w:rPr>
                <w:rFonts w:hint="eastAsia" w:ascii="宋体" w:hAnsi="宋体" w:eastAsia="宋体"/>
                <w:color w:val="auto"/>
                <w:szCs w:val="21"/>
              </w:rPr>
            </w:pPr>
            <w:r>
              <w:rPr>
                <w:rFonts w:hint="eastAsia" w:ascii="宋体" w:hAnsi="宋体" w:eastAsia="宋体"/>
                <w:color w:val="auto"/>
                <w:szCs w:val="21"/>
              </w:rPr>
              <w:t>10</w:t>
            </w:r>
          </w:p>
        </w:tc>
        <w:tc>
          <w:tcPr>
            <w:tcW w:w="7987" w:type="dxa"/>
          </w:tcPr>
          <w:p w14:paraId="162FB58A">
            <w:pPr>
              <w:jc w:val="left"/>
              <w:rPr>
                <w:rFonts w:hint="eastAsia" w:ascii="宋体" w:hAnsi="宋体" w:eastAsia="宋体"/>
                <w:color w:val="auto"/>
                <w:szCs w:val="21"/>
              </w:rPr>
            </w:pPr>
            <w:r>
              <w:rPr>
                <w:rFonts w:hint="eastAsia" w:ascii="宋体" w:hAnsi="宋体" w:eastAsia="宋体"/>
                <w:color w:val="auto"/>
                <w:szCs w:val="21"/>
              </w:rPr>
              <w:t>营业执照正本扫描件</w:t>
            </w:r>
          </w:p>
        </w:tc>
      </w:tr>
      <w:tr w14:paraId="4AEE86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14:paraId="6A89AD7D">
            <w:pPr>
              <w:jc w:val="center"/>
              <w:rPr>
                <w:rFonts w:hint="eastAsia" w:ascii="宋体" w:hAnsi="宋体" w:eastAsia="宋体"/>
                <w:color w:val="auto"/>
                <w:szCs w:val="21"/>
              </w:rPr>
            </w:pPr>
            <w:r>
              <w:rPr>
                <w:rFonts w:hint="eastAsia" w:ascii="宋体" w:hAnsi="宋体" w:eastAsia="宋体"/>
                <w:color w:val="auto"/>
                <w:szCs w:val="21"/>
              </w:rPr>
              <w:t>11</w:t>
            </w:r>
          </w:p>
        </w:tc>
        <w:tc>
          <w:tcPr>
            <w:tcW w:w="7987" w:type="dxa"/>
          </w:tcPr>
          <w:p w14:paraId="0D6A5B8D">
            <w:pPr>
              <w:jc w:val="left"/>
              <w:rPr>
                <w:rFonts w:hint="eastAsia" w:ascii="宋体" w:hAnsi="宋体" w:eastAsia="宋体"/>
                <w:color w:val="auto"/>
                <w:szCs w:val="21"/>
              </w:rPr>
            </w:pPr>
            <w:r>
              <w:rPr>
                <w:rFonts w:hint="eastAsia" w:ascii="宋体" w:hAnsi="宋体" w:eastAsia="宋体"/>
                <w:color w:val="auto"/>
                <w:szCs w:val="21"/>
              </w:rPr>
              <w:t>营业执照副本扫描件</w:t>
            </w:r>
          </w:p>
        </w:tc>
      </w:tr>
      <w:tr w14:paraId="0916C2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14:paraId="6CAB0A09">
            <w:pPr>
              <w:jc w:val="center"/>
              <w:rPr>
                <w:rFonts w:hint="eastAsia" w:ascii="宋体" w:hAnsi="宋体" w:eastAsia="宋体"/>
                <w:color w:val="auto"/>
                <w:szCs w:val="21"/>
              </w:rPr>
            </w:pPr>
            <w:r>
              <w:rPr>
                <w:rFonts w:hint="eastAsia" w:ascii="宋体" w:hAnsi="宋体" w:eastAsia="宋体"/>
                <w:color w:val="auto"/>
                <w:szCs w:val="21"/>
              </w:rPr>
              <w:t>12</w:t>
            </w:r>
          </w:p>
        </w:tc>
        <w:tc>
          <w:tcPr>
            <w:tcW w:w="7987" w:type="dxa"/>
          </w:tcPr>
          <w:p w14:paraId="7B20CE0C">
            <w:pPr>
              <w:jc w:val="left"/>
              <w:rPr>
                <w:rFonts w:hint="eastAsia" w:ascii="宋体" w:hAnsi="宋体" w:eastAsia="宋体"/>
                <w:color w:val="auto"/>
                <w:szCs w:val="21"/>
              </w:rPr>
            </w:pPr>
            <w:r>
              <w:rPr>
                <w:rFonts w:hint="eastAsia" w:ascii="宋体" w:hAnsi="宋体" w:eastAsia="宋体"/>
                <w:color w:val="auto"/>
                <w:szCs w:val="21"/>
              </w:rPr>
              <w:t>详细服务方案</w:t>
            </w:r>
          </w:p>
        </w:tc>
      </w:tr>
    </w:tbl>
    <w:p w14:paraId="33A8E4F0">
      <w:pPr>
        <w:jc w:val="left"/>
        <w:rPr>
          <w:rFonts w:ascii="宋体" w:hAnsi="宋体" w:eastAsia="宋体"/>
          <w:color w:val="auto"/>
          <w:szCs w:val="21"/>
        </w:rPr>
      </w:pPr>
    </w:p>
    <w:p w14:paraId="78ADE20D">
      <w:pPr>
        <w:jc w:val="left"/>
        <w:rPr>
          <w:rFonts w:ascii="宋体" w:hAnsi="宋体" w:eastAsia="宋体"/>
          <w:b/>
          <w:color w:val="auto"/>
          <w:szCs w:val="21"/>
        </w:rPr>
      </w:pPr>
      <w:r>
        <w:rPr>
          <w:rFonts w:ascii="宋体" w:hAnsi="宋体" w:eastAsia="宋体"/>
          <w:b/>
          <w:color w:val="auto"/>
          <w:szCs w:val="21"/>
        </w:rPr>
        <w:t>注：以上材料均为纸质材料盖章扫描件或扫描件加盖电子公章</w:t>
      </w:r>
    </w:p>
    <w:p w14:paraId="0D697AF9">
      <w:pPr>
        <w:jc w:val="left"/>
        <w:rPr>
          <w:rFonts w:ascii="宋体" w:hAnsi="宋体" w:eastAsia="宋体"/>
          <w:color w:val="auto"/>
          <w:szCs w:val="21"/>
        </w:rPr>
      </w:pPr>
    </w:p>
    <w:p w14:paraId="072019CB">
      <w:pPr>
        <w:jc w:val="left"/>
        <w:rPr>
          <w:rFonts w:ascii="宋体" w:hAnsi="宋体" w:eastAsia="宋体"/>
          <w:color w:val="auto"/>
          <w:szCs w:val="21"/>
        </w:rPr>
      </w:pPr>
    </w:p>
    <w:p w14:paraId="43484978">
      <w:pPr>
        <w:jc w:val="left"/>
        <w:rPr>
          <w:rFonts w:ascii="宋体" w:hAnsi="宋体" w:eastAsia="宋体"/>
          <w:color w:val="auto"/>
          <w:szCs w:val="21"/>
        </w:rPr>
      </w:pPr>
    </w:p>
    <w:p w14:paraId="41BEC648">
      <w:pPr>
        <w:jc w:val="left"/>
        <w:rPr>
          <w:rFonts w:ascii="宋体" w:hAnsi="宋体" w:eastAsia="宋体"/>
          <w:color w:val="auto"/>
          <w:szCs w:val="21"/>
        </w:rPr>
      </w:pPr>
    </w:p>
    <w:p w14:paraId="1F51A111">
      <w:pPr>
        <w:jc w:val="left"/>
        <w:rPr>
          <w:rFonts w:ascii="宋体" w:hAnsi="宋体" w:eastAsia="宋体"/>
          <w:color w:val="auto"/>
          <w:szCs w:val="21"/>
        </w:rPr>
      </w:pPr>
    </w:p>
    <w:p w14:paraId="36E713FB">
      <w:pPr>
        <w:jc w:val="left"/>
        <w:rPr>
          <w:rFonts w:ascii="宋体" w:hAnsi="宋体" w:eastAsia="宋体"/>
          <w:color w:val="auto"/>
          <w:szCs w:val="21"/>
        </w:rPr>
      </w:pPr>
    </w:p>
    <w:p w14:paraId="74B88D28">
      <w:pPr>
        <w:jc w:val="left"/>
        <w:rPr>
          <w:rFonts w:hint="eastAsia" w:ascii="宋体" w:hAnsi="宋体" w:eastAsia="宋体"/>
          <w:color w:val="auto"/>
          <w:szCs w:val="21"/>
        </w:rPr>
      </w:pPr>
    </w:p>
    <w:p w14:paraId="60225084">
      <w:pPr>
        <w:jc w:val="left"/>
        <w:rPr>
          <w:rFonts w:hint="eastAsia" w:ascii="宋体" w:hAnsi="宋体" w:eastAsia="宋体"/>
          <w:color w:val="auto"/>
          <w:szCs w:val="21"/>
        </w:rPr>
      </w:pPr>
    </w:p>
    <w:p w14:paraId="0F7C6187">
      <w:pPr>
        <w:jc w:val="left"/>
        <w:rPr>
          <w:rFonts w:hint="eastAsia" w:ascii="宋体" w:hAnsi="宋体" w:eastAsia="宋体"/>
          <w:color w:val="auto"/>
          <w:szCs w:val="21"/>
        </w:rPr>
      </w:pPr>
    </w:p>
    <w:p w14:paraId="6C65847C">
      <w:pPr>
        <w:jc w:val="left"/>
        <w:rPr>
          <w:rFonts w:hint="eastAsia" w:ascii="宋体" w:hAnsi="宋体" w:eastAsia="宋体"/>
          <w:color w:val="auto"/>
          <w:szCs w:val="21"/>
        </w:rPr>
      </w:pPr>
    </w:p>
    <w:p w14:paraId="01928519">
      <w:pPr>
        <w:jc w:val="left"/>
        <w:rPr>
          <w:rFonts w:hint="eastAsia" w:ascii="宋体" w:hAnsi="宋体" w:eastAsia="宋体"/>
          <w:color w:val="auto"/>
          <w:szCs w:val="21"/>
        </w:rPr>
      </w:pPr>
    </w:p>
    <w:p w14:paraId="36FF3E38">
      <w:pPr>
        <w:jc w:val="left"/>
        <w:rPr>
          <w:rFonts w:hint="eastAsia" w:ascii="宋体" w:hAnsi="宋体" w:eastAsia="宋体"/>
          <w:color w:val="auto"/>
          <w:szCs w:val="21"/>
        </w:rPr>
      </w:pPr>
    </w:p>
    <w:p w14:paraId="6FAD6907">
      <w:pPr>
        <w:jc w:val="left"/>
        <w:rPr>
          <w:rFonts w:hint="eastAsia" w:ascii="宋体" w:hAnsi="宋体" w:eastAsia="宋体"/>
          <w:color w:val="auto"/>
          <w:szCs w:val="21"/>
        </w:rPr>
      </w:pPr>
    </w:p>
    <w:p w14:paraId="06583901">
      <w:pPr>
        <w:jc w:val="left"/>
        <w:rPr>
          <w:rFonts w:hint="eastAsia" w:ascii="宋体" w:hAnsi="宋体" w:eastAsia="宋体"/>
          <w:color w:val="auto"/>
          <w:szCs w:val="21"/>
        </w:rPr>
      </w:pPr>
    </w:p>
    <w:p w14:paraId="55A24549">
      <w:pPr>
        <w:jc w:val="left"/>
        <w:rPr>
          <w:rFonts w:hint="eastAsia" w:ascii="宋体" w:hAnsi="宋体" w:eastAsia="宋体"/>
          <w:color w:val="auto"/>
          <w:szCs w:val="21"/>
        </w:rPr>
      </w:pPr>
    </w:p>
    <w:p w14:paraId="678D096D">
      <w:pPr>
        <w:jc w:val="left"/>
        <w:rPr>
          <w:rFonts w:hint="eastAsia" w:ascii="宋体" w:hAnsi="宋体" w:eastAsia="宋体"/>
          <w:color w:val="auto"/>
          <w:szCs w:val="21"/>
        </w:rPr>
      </w:pPr>
    </w:p>
    <w:p w14:paraId="46FA4806">
      <w:pPr>
        <w:jc w:val="left"/>
        <w:rPr>
          <w:rFonts w:hint="eastAsia" w:ascii="宋体" w:hAnsi="宋体" w:eastAsia="宋体"/>
          <w:color w:val="auto"/>
          <w:szCs w:val="21"/>
        </w:rPr>
      </w:pPr>
    </w:p>
    <w:p w14:paraId="1E450D28">
      <w:pPr>
        <w:rPr>
          <w:rFonts w:hint="eastAsia" w:ascii="宋体" w:hAnsi="宋体" w:eastAsia="宋体"/>
          <w:b/>
          <w:color w:val="auto"/>
          <w:sz w:val="28"/>
          <w:szCs w:val="28"/>
        </w:rPr>
      </w:pPr>
      <w:r>
        <w:rPr>
          <w:rFonts w:hint="eastAsia" w:ascii="宋体" w:hAnsi="宋体" w:eastAsia="宋体"/>
          <w:b/>
          <w:color w:val="auto"/>
          <w:sz w:val="28"/>
          <w:szCs w:val="28"/>
        </w:rPr>
        <w:br w:type="page"/>
      </w:r>
    </w:p>
    <w:p w14:paraId="6F8135AF">
      <w:pPr>
        <w:jc w:val="center"/>
        <w:rPr>
          <w:rFonts w:hint="eastAsia" w:ascii="宋体" w:hAnsi="宋体" w:eastAsia="宋体"/>
          <w:b/>
          <w:color w:val="auto"/>
          <w:sz w:val="28"/>
          <w:szCs w:val="28"/>
        </w:rPr>
      </w:pPr>
      <w:r>
        <w:rPr>
          <w:rFonts w:hint="eastAsia" w:ascii="宋体" w:hAnsi="宋体" w:eastAsia="宋体"/>
          <w:b/>
          <w:color w:val="auto"/>
          <w:sz w:val="28"/>
          <w:szCs w:val="28"/>
        </w:rPr>
        <w:t>第五章  比价项目及技术要求</w:t>
      </w:r>
    </w:p>
    <w:p w14:paraId="24676034">
      <w:pPr>
        <w:jc w:val="left"/>
        <w:rPr>
          <w:rFonts w:hint="eastAsia" w:ascii="宋体" w:hAnsi="宋体" w:eastAsia="宋体"/>
          <w:color w:val="auto"/>
          <w:szCs w:val="21"/>
        </w:rPr>
      </w:pPr>
    </w:p>
    <w:p w14:paraId="4C626035">
      <w:pPr>
        <w:jc w:val="left"/>
        <w:rPr>
          <w:rFonts w:hint="default" w:ascii="宋体" w:hAnsi="宋体" w:eastAsia="宋体"/>
          <w:b/>
          <w:color w:val="auto"/>
          <w:sz w:val="24"/>
          <w:szCs w:val="24"/>
          <w:lang w:val="en-US" w:eastAsia="zh-CN"/>
        </w:rPr>
      </w:pPr>
      <w:r>
        <w:rPr>
          <w:rFonts w:hint="eastAsia" w:ascii="宋体" w:hAnsi="宋体" w:eastAsia="宋体"/>
          <w:b/>
          <w:color w:val="auto"/>
          <w:sz w:val="24"/>
          <w:szCs w:val="24"/>
        </w:rPr>
        <w:t>第一部分：服务清单</w:t>
      </w:r>
    </w:p>
    <w:p w14:paraId="2C027B30">
      <w:pPr>
        <w:jc w:val="left"/>
        <w:rPr>
          <w:rFonts w:hint="eastAsia" w:ascii="宋体" w:hAnsi="宋体" w:eastAsia="宋体"/>
          <w:color w:val="auto"/>
          <w:sz w:val="24"/>
          <w:szCs w:val="24"/>
        </w:rPr>
      </w:pPr>
      <w:r>
        <w:rPr>
          <w:rFonts w:hint="eastAsia" w:ascii="宋体" w:hAnsi="宋体" w:eastAsia="宋体"/>
          <w:color w:val="auto"/>
          <w:sz w:val="24"/>
          <w:szCs w:val="24"/>
        </w:rPr>
        <w:t>（</w:t>
      </w:r>
      <w:r>
        <w:rPr>
          <w:rFonts w:hint="eastAsia" w:ascii="宋体" w:hAnsi="宋体" w:eastAsia="宋体"/>
          <w:color w:val="auto"/>
          <w:sz w:val="24"/>
          <w:szCs w:val="24"/>
          <w:lang w:val="en-US" w:eastAsia="zh-CN"/>
        </w:rPr>
        <w:t>一</w:t>
      </w:r>
      <w:r>
        <w:rPr>
          <w:rFonts w:hint="eastAsia" w:ascii="宋体" w:hAnsi="宋体" w:eastAsia="宋体"/>
          <w:color w:val="auto"/>
          <w:sz w:val="24"/>
          <w:szCs w:val="24"/>
        </w:rPr>
        <w:t>）软件系统功能需求</w:t>
      </w:r>
    </w:p>
    <w:tbl>
      <w:tblPr>
        <w:tblStyle w:val="9"/>
        <w:tblW w:w="909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30"/>
        <w:gridCol w:w="7462"/>
        <w:gridCol w:w="800"/>
      </w:tblGrid>
      <w:tr w14:paraId="5BC90B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1" w:hRule="atLeast"/>
          <w:jc w:val="center"/>
        </w:trPr>
        <w:tc>
          <w:tcPr>
            <w:tcW w:w="830" w:type="dxa"/>
          </w:tcPr>
          <w:p w14:paraId="3076EB9D">
            <w:pPr>
              <w:jc w:val="center"/>
              <w:rPr>
                <w:rFonts w:ascii="宋体" w:hAnsi="宋体" w:eastAsia="宋体"/>
                <w:color w:val="auto"/>
                <w:szCs w:val="21"/>
              </w:rPr>
            </w:pPr>
            <w:r>
              <w:rPr>
                <w:rFonts w:ascii="宋体" w:hAnsi="宋体" w:eastAsia="宋体"/>
                <w:color w:val="auto"/>
                <w:szCs w:val="21"/>
              </w:rPr>
              <w:t>序号</w:t>
            </w:r>
          </w:p>
        </w:tc>
        <w:tc>
          <w:tcPr>
            <w:tcW w:w="7462" w:type="dxa"/>
          </w:tcPr>
          <w:p w14:paraId="2000B2ED">
            <w:pPr>
              <w:jc w:val="center"/>
              <w:rPr>
                <w:rFonts w:ascii="宋体" w:hAnsi="宋体" w:eastAsia="宋体"/>
                <w:color w:val="auto"/>
                <w:szCs w:val="21"/>
              </w:rPr>
            </w:pPr>
            <w:r>
              <w:rPr>
                <w:rFonts w:ascii="宋体" w:hAnsi="宋体" w:eastAsia="宋体"/>
                <w:color w:val="auto"/>
                <w:szCs w:val="21"/>
              </w:rPr>
              <w:t>服务内容</w:t>
            </w:r>
          </w:p>
        </w:tc>
        <w:tc>
          <w:tcPr>
            <w:tcW w:w="800" w:type="dxa"/>
          </w:tcPr>
          <w:p w14:paraId="5E75AE08">
            <w:pPr>
              <w:jc w:val="center"/>
              <w:rPr>
                <w:rFonts w:ascii="宋体" w:hAnsi="宋体" w:eastAsia="宋体"/>
                <w:color w:val="auto"/>
                <w:szCs w:val="21"/>
              </w:rPr>
            </w:pPr>
            <w:r>
              <w:rPr>
                <w:rFonts w:ascii="宋体" w:hAnsi="宋体" w:eastAsia="宋体"/>
                <w:color w:val="auto"/>
                <w:szCs w:val="21"/>
              </w:rPr>
              <w:t>备注</w:t>
            </w:r>
          </w:p>
        </w:tc>
      </w:tr>
      <w:tr w14:paraId="1AB380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9" w:hRule="atLeast"/>
          <w:jc w:val="center"/>
        </w:trPr>
        <w:tc>
          <w:tcPr>
            <w:tcW w:w="830" w:type="dxa"/>
            <w:vAlign w:val="center"/>
          </w:tcPr>
          <w:p w14:paraId="43934491">
            <w:pPr>
              <w:jc w:val="center"/>
              <w:rPr>
                <w:rFonts w:ascii="宋体" w:hAnsi="宋体" w:eastAsia="宋体"/>
                <w:color w:val="auto"/>
                <w:szCs w:val="21"/>
              </w:rPr>
            </w:pPr>
            <w:r>
              <w:rPr>
                <w:rFonts w:hint="eastAsia" w:ascii="宋体" w:hAnsi="宋体" w:eastAsia="宋体"/>
                <w:color w:val="auto"/>
                <w:szCs w:val="21"/>
              </w:rPr>
              <w:t>1</w:t>
            </w:r>
          </w:p>
        </w:tc>
        <w:tc>
          <w:tcPr>
            <w:tcW w:w="7462" w:type="dxa"/>
          </w:tcPr>
          <w:p w14:paraId="47F2C0CF">
            <w:pPr>
              <w:jc w:val="left"/>
              <w:rPr>
                <w:rFonts w:hint="eastAsia" w:ascii="宋体" w:hAnsi="宋体" w:eastAsiaTheme="minorEastAsia"/>
                <w:color w:val="auto"/>
                <w:sz w:val="24"/>
                <w:szCs w:val="24"/>
                <w:lang w:val="en-US" w:eastAsia="zh-CN"/>
              </w:rPr>
            </w:pPr>
            <w:r>
              <w:rPr>
                <w:color w:val="auto"/>
                <w:spacing w:val="1"/>
                <w:sz w:val="24"/>
                <w:szCs w:val="24"/>
              </w:rPr>
              <w:t>数据采集模块：具备体检人员登记功能、利用二代身</w:t>
            </w:r>
            <w:r>
              <w:rPr>
                <w:color w:val="auto"/>
                <w:spacing w:val="3"/>
                <w:sz w:val="24"/>
                <w:szCs w:val="24"/>
              </w:rPr>
              <w:t>份证读卡器识别人员信息，并可对人员信息进行添</w:t>
            </w:r>
            <w:r>
              <w:rPr>
                <w:color w:val="auto"/>
                <w:spacing w:val="2"/>
                <w:sz w:val="24"/>
                <w:szCs w:val="24"/>
              </w:rPr>
              <w:t>加、删除、</w:t>
            </w:r>
            <w:r>
              <w:rPr>
                <w:color w:val="auto"/>
                <w:spacing w:val="4"/>
                <w:sz w:val="24"/>
                <w:szCs w:val="24"/>
              </w:rPr>
              <w:t>修改、打印条码等操作；登记处自动打印检验条码，查体过程</w:t>
            </w:r>
            <w:r>
              <w:rPr>
                <w:color w:val="auto"/>
                <w:spacing w:val="-1"/>
                <w:sz w:val="24"/>
                <w:szCs w:val="24"/>
              </w:rPr>
              <w:t>中可以扫描检验项目条码，院内化验室的LIS系统可扫描此条</w:t>
            </w:r>
            <w:r>
              <w:rPr>
                <w:color w:val="auto"/>
                <w:spacing w:val="4"/>
                <w:sz w:val="24"/>
                <w:szCs w:val="24"/>
              </w:rPr>
              <w:t>码，所生成的检测项目数据可与体检系统接口整合，并在查体</w:t>
            </w:r>
            <w:r>
              <w:rPr>
                <w:color w:val="auto"/>
                <w:spacing w:val="-1"/>
                <w:sz w:val="24"/>
                <w:szCs w:val="24"/>
              </w:rPr>
              <w:t>报告中呈现。通过与LIS接口，系统可自动导入检验结果，并</w:t>
            </w:r>
            <w:r>
              <w:rPr>
                <w:color w:val="auto"/>
                <w:spacing w:val="2"/>
                <w:sz w:val="24"/>
                <w:szCs w:val="24"/>
              </w:rPr>
              <w:t>根据检验结果产生与之匹配的诊断结论。系统支持</w:t>
            </w:r>
            <w:r>
              <w:rPr>
                <w:rFonts w:hint="eastAsia"/>
                <w:color w:val="auto"/>
                <w:spacing w:val="2"/>
                <w:sz w:val="24"/>
                <w:szCs w:val="24"/>
                <w:lang w:val="en-US" w:eastAsia="zh-CN"/>
              </w:rPr>
              <w:t>各个岗位及流程</w:t>
            </w:r>
            <w:r>
              <w:rPr>
                <w:color w:val="auto"/>
                <w:spacing w:val="2"/>
                <w:sz w:val="24"/>
                <w:szCs w:val="24"/>
              </w:rPr>
              <w:t>拍照</w:t>
            </w:r>
            <w:r>
              <w:rPr>
                <w:color w:val="auto"/>
                <w:spacing w:val="-6"/>
                <w:sz w:val="24"/>
                <w:szCs w:val="24"/>
              </w:rPr>
              <w:t>留取头像功能。</w:t>
            </w:r>
          </w:p>
        </w:tc>
        <w:tc>
          <w:tcPr>
            <w:tcW w:w="800" w:type="dxa"/>
          </w:tcPr>
          <w:p w14:paraId="1EE9F2A2">
            <w:pPr>
              <w:jc w:val="left"/>
              <w:rPr>
                <w:rFonts w:ascii="宋体" w:hAnsi="宋体" w:eastAsia="宋体"/>
                <w:color w:val="auto"/>
                <w:szCs w:val="21"/>
              </w:rPr>
            </w:pPr>
          </w:p>
        </w:tc>
      </w:tr>
      <w:tr w14:paraId="6DC355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1" w:hRule="atLeast"/>
          <w:jc w:val="center"/>
        </w:trPr>
        <w:tc>
          <w:tcPr>
            <w:tcW w:w="830" w:type="dxa"/>
            <w:vAlign w:val="center"/>
          </w:tcPr>
          <w:p w14:paraId="4661CE79">
            <w:pPr>
              <w:jc w:val="center"/>
              <w:rPr>
                <w:rFonts w:ascii="宋体" w:hAnsi="宋体" w:eastAsia="宋体"/>
                <w:color w:val="auto"/>
                <w:szCs w:val="21"/>
              </w:rPr>
            </w:pPr>
            <w:r>
              <w:rPr>
                <w:rFonts w:hint="eastAsia" w:ascii="宋体" w:hAnsi="宋体" w:eastAsia="宋体"/>
                <w:color w:val="auto"/>
                <w:szCs w:val="21"/>
              </w:rPr>
              <w:t>2</w:t>
            </w:r>
          </w:p>
        </w:tc>
        <w:tc>
          <w:tcPr>
            <w:tcW w:w="7462" w:type="dxa"/>
          </w:tcPr>
          <w:p w14:paraId="7761D02B">
            <w:pPr>
              <w:pStyle w:val="18"/>
              <w:keepNext w:val="0"/>
              <w:keepLines w:val="0"/>
              <w:pageBreakBefore w:val="0"/>
              <w:widowControl w:val="0"/>
              <w:kinsoku/>
              <w:wordWrap w:val="0"/>
              <w:overflowPunct/>
              <w:topLinePunct/>
              <w:autoSpaceDE/>
              <w:autoSpaceDN/>
              <w:bidi w:val="0"/>
              <w:adjustRightInd/>
              <w:snapToGrid/>
              <w:spacing w:line="240" w:lineRule="auto"/>
              <w:ind w:right="0"/>
              <w:textAlignment w:val="auto"/>
              <w:rPr>
                <w:rFonts w:ascii="宋体" w:hAnsi="宋体" w:eastAsia="宋体"/>
                <w:color w:val="auto"/>
                <w:sz w:val="24"/>
                <w:szCs w:val="24"/>
              </w:rPr>
            </w:pPr>
            <w:r>
              <w:rPr>
                <w:color w:val="auto"/>
                <w:sz w:val="24"/>
                <w:szCs w:val="24"/>
              </w:rPr>
              <w:t>体检流程模块：软件工作流程可将人员</w:t>
            </w:r>
            <w:r>
              <w:rPr>
                <w:color w:val="auto"/>
                <w:spacing w:val="-1"/>
                <w:sz w:val="24"/>
                <w:szCs w:val="24"/>
              </w:rPr>
              <w:t>登记、抽血、</w:t>
            </w:r>
            <w:r>
              <w:rPr>
                <w:color w:val="auto"/>
                <w:spacing w:val="-2"/>
                <w:sz w:val="24"/>
                <w:szCs w:val="24"/>
              </w:rPr>
              <w:t>基本测量、尿液分析、生化分析、B超、心电、</w:t>
            </w:r>
            <w:r>
              <w:rPr>
                <w:rFonts w:hint="eastAsia"/>
                <w:color w:val="auto"/>
                <w:spacing w:val="-2"/>
                <w:sz w:val="24"/>
                <w:szCs w:val="24"/>
                <w:lang w:val="en-US" w:eastAsia="zh-CN"/>
              </w:rPr>
              <w:t>DR、</w:t>
            </w:r>
            <w:r>
              <w:rPr>
                <w:color w:val="auto"/>
                <w:spacing w:val="-2"/>
                <w:sz w:val="24"/>
                <w:szCs w:val="24"/>
              </w:rPr>
              <w:t>问询等现场体</w:t>
            </w:r>
            <w:r>
              <w:rPr>
                <w:color w:val="auto"/>
                <w:spacing w:val="-5"/>
                <w:sz w:val="24"/>
                <w:szCs w:val="24"/>
              </w:rPr>
              <w:t>检工作区分开来。</w:t>
            </w:r>
            <w:r>
              <w:rPr>
                <w:rFonts w:hint="eastAsia"/>
                <w:color w:val="auto"/>
                <w:spacing w:val="-5"/>
                <w:sz w:val="24"/>
                <w:szCs w:val="24"/>
                <w:lang w:val="en-US" w:eastAsia="zh-CN"/>
              </w:rPr>
              <w:t>体检流程中的各个环节均支持拍照留取头像功能。</w:t>
            </w:r>
          </w:p>
        </w:tc>
        <w:tc>
          <w:tcPr>
            <w:tcW w:w="800" w:type="dxa"/>
          </w:tcPr>
          <w:p w14:paraId="0AD69833">
            <w:pPr>
              <w:jc w:val="left"/>
              <w:rPr>
                <w:rFonts w:ascii="宋体" w:hAnsi="宋体" w:eastAsia="宋体"/>
                <w:color w:val="auto"/>
                <w:szCs w:val="21"/>
              </w:rPr>
            </w:pPr>
          </w:p>
        </w:tc>
      </w:tr>
      <w:tr w14:paraId="0D06F0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0" w:hRule="atLeast"/>
          <w:jc w:val="center"/>
        </w:trPr>
        <w:tc>
          <w:tcPr>
            <w:tcW w:w="830" w:type="dxa"/>
            <w:vAlign w:val="center"/>
          </w:tcPr>
          <w:p w14:paraId="0C23F128">
            <w:pPr>
              <w:jc w:val="center"/>
              <w:rPr>
                <w:rFonts w:ascii="宋体" w:hAnsi="宋体" w:eastAsia="宋体"/>
                <w:color w:val="auto"/>
                <w:szCs w:val="21"/>
              </w:rPr>
            </w:pPr>
            <w:r>
              <w:rPr>
                <w:rFonts w:hint="eastAsia" w:ascii="宋体" w:hAnsi="宋体" w:eastAsia="宋体"/>
                <w:color w:val="auto"/>
                <w:szCs w:val="21"/>
              </w:rPr>
              <w:t>3</w:t>
            </w:r>
          </w:p>
        </w:tc>
        <w:tc>
          <w:tcPr>
            <w:tcW w:w="7462" w:type="dxa"/>
          </w:tcPr>
          <w:p w14:paraId="1EBE43BC">
            <w:pPr>
              <w:pStyle w:val="18"/>
              <w:keepNext w:val="0"/>
              <w:keepLines w:val="0"/>
              <w:pageBreakBefore w:val="0"/>
              <w:widowControl w:val="0"/>
              <w:kinsoku/>
              <w:wordWrap w:val="0"/>
              <w:overflowPunct/>
              <w:topLinePunct/>
              <w:autoSpaceDE/>
              <w:autoSpaceDN/>
              <w:bidi w:val="0"/>
              <w:adjustRightInd/>
              <w:snapToGrid/>
              <w:spacing w:line="240" w:lineRule="auto"/>
              <w:ind w:right="0"/>
              <w:textAlignment w:val="auto"/>
              <w:rPr>
                <w:rFonts w:ascii="宋体" w:hAnsi="宋体" w:eastAsia="宋体"/>
                <w:color w:val="auto"/>
                <w:sz w:val="24"/>
                <w:szCs w:val="24"/>
              </w:rPr>
            </w:pPr>
            <w:r>
              <w:rPr>
                <w:color w:val="auto"/>
                <w:spacing w:val="1"/>
                <w:sz w:val="24"/>
                <w:szCs w:val="24"/>
              </w:rPr>
              <w:t>身高体重血压采集模块：采用</w:t>
            </w:r>
            <w:r>
              <w:rPr>
                <w:rFonts w:hint="eastAsia"/>
                <w:color w:val="auto"/>
                <w:spacing w:val="1"/>
                <w:sz w:val="24"/>
                <w:szCs w:val="24"/>
                <w:lang w:val="en-US" w:eastAsia="zh-CN"/>
              </w:rPr>
              <w:t>电脑</w:t>
            </w:r>
            <w:r>
              <w:rPr>
                <w:color w:val="auto"/>
                <w:spacing w:val="4"/>
                <w:sz w:val="24"/>
                <w:szCs w:val="24"/>
              </w:rPr>
              <w:t>使用蓝牙技术</w:t>
            </w:r>
            <w:r>
              <w:rPr>
                <w:rFonts w:hint="eastAsia"/>
                <w:color w:val="auto"/>
                <w:spacing w:val="4"/>
                <w:sz w:val="24"/>
                <w:szCs w:val="24"/>
                <w:lang w:val="en-US" w:eastAsia="zh-CN"/>
              </w:rPr>
              <w:t>或有线连接</w:t>
            </w:r>
            <w:r>
              <w:rPr>
                <w:color w:val="auto"/>
                <w:spacing w:val="4"/>
                <w:sz w:val="24"/>
                <w:szCs w:val="24"/>
              </w:rPr>
              <w:t>采集人员身高、体重、血压，结果数</w:t>
            </w:r>
            <w:r>
              <w:rPr>
                <w:color w:val="auto"/>
                <w:spacing w:val="3"/>
                <w:sz w:val="24"/>
                <w:szCs w:val="24"/>
              </w:rPr>
              <w:t>据同</w:t>
            </w:r>
            <w:r>
              <w:rPr>
                <w:color w:val="auto"/>
                <w:spacing w:val="4"/>
                <w:sz w:val="24"/>
                <w:szCs w:val="24"/>
              </w:rPr>
              <w:t>步传输到管理系统中确保数据不会丢失，并可自动传输数</w:t>
            </w:r>
            <w:r>
              <w:rPr>
                <w:color w:val="auto"/>
                <w:spacing w:val="3"/>
                <w:sz w:val="24"/>
                <w:szCs w:val="24"/>
              </w:rPr>
              <w:t>值至</w:t>
            </w:r>
            <w:r>
              <w:rPr>
                <w:color w:val="auto"/>
                <w:spacing w:val="-2"/>
                <w:sz w:val="24"/>
                <w:szCs w:val="24"/>
              </w:rPr>
              <w:t>中医体质问询系统，支持信息实时上传，支持条形码扫码。</w:t>
            </w:r>
          </w:p>
        </w:tc>
        <w:tc>
          <w:tcPr>
            <w:tcW w:w="800" w:type="dxa"/>
          </w:tcPr>
          <w:p w14:paraId="37128531">
            <w:pPr>
              <w:jc w:val="left"/>
              <w:rPr>
                <w:rFonts w:ascii="宋体" w:hAnsi="宋体" w:eastAsia="宋体"/>
                <w:color w:val="auto"/>
                <w:szCs w:val="21"/>
              </w:rPr>
            </w:pPr>
          </w:p>
        </w:tc>
      </w:tr>
      <w:tr w14:paraId="28B6E2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9" w:hRule="atLeast"/>
          <w:jc w:val="center"/>
        </w:trPr>
        <w:tc>
          <w:tcPr>
            <w:tcW w:w="830" w:type="dxa"/>
            <w:vAlign w:val="center"/>
          </w:tcPr>
          <w:p w14:paraId="7FCC16DD">
            <w:pPr>
              <w:jc w:val="center"/>
              <w:rPr>
                <w:rFonts w:ascii="宋体" w:hAnsi="宋体" w:eastAsia="宋体"/>
                <w:color w:val="auto"/>
                <w:szCs w:val="21"/>
              </w:rPr>
            </w:pPr>
            <w:r>
              <w:rPr>
                <w:rFonts w:hint="eastAsia" w:ascii="宋体" w:hAnsi="宋体" w:eastAsia="宋体"/>
                <w:color w:val="auto"/>
                <w:szCs w:val="21"/>
              </w:rPr>
              <w:t>4</w:t>
            </w:r>
          </w:p>
        </w:tc>
        <w:tc>
          <w:tcPr>
            <w:tcW w:w="7462" w:type="dxa"/>
          </w:tcPr>
          <w:p w14:paraId="32554550">
            <w:pPr>
              <w:pStyle w:val="18"/>
              <w:keepNext w:val="0"/>
              <w:keepLines w:val="0"/>
              <w:pageBreakBefore w:val="0"/>
              <w:widowControl w:val="0"/>
              <w:kinsoku/>
              <w:wordWrap w:val="0"/>
              <w:overflowPunct/>
              <w:topLinePunct/>
              <w:autoSpaceDE/>
              <w:autoSpaceDN/>
              <w:bidi w:val="0"/>
              <w:adjustRightInd/>
              <w:snapToGrid/>
              <w:spacing w:line="240" w:lineRule="auto"/>
              <w:ind w:right="0"/>
              <w:textAlignment w:val="auto"/>
              <w:rPr>
                <w:rFonts w:ascii="宋体" w:hAnsi="宋体" w:eastAsia="宋体"/>
                <w:color w:val="auto"/>
                <w:sz w:val="24"/>
                <w:szCs w:val="24"/>
              </w:rPr>
            </w:pPr>
            <w:r>
              <w:rPr>
                <w:color w:val="auto"/>
                <w:spacing w:val="-3"/>
                <w:sz w:val="24"/>
                <w:szCs w:val="24"/>
              </w:rPr>
              <w:t>心电图、B超</w:t>
            </w:r>
            <w:r>
              <w:rPr>
                <w:rFonts w:hint="eastAsia"/>
                <w:color w:val="auto"/>
                <w:spacing w:val="-3"/>
                <w:sz w:val="24"/>
                <w:szCs w:val="24"/>
                <w:lang w:eastAsia="zh-CN"/>
              </w:rPr>
              <w:t>、</w:t>
            </w:r>
            <w:r>
              <w:rPr>
                <w:rFonts w:hint="eastAsia"/>
                <w:color w:val="auto"/>
                <w:spacing w:val="-3"/>
                <w:sz w:val="24"/>
                <w:szCs w:val="24"/>
                <w:lang w:val="en-US" w:eastAsia="zh-CN"/>
              </w:rPr>
              <w:t>DR</w:t>
            </w:r>
            <w:r>
              <w:rPr>
                <w:color w:val="auto"/>
                <w:spacing w:val="-3"/>
                <w:sz w:val="24"/>
                <w:szCs w:val="24"/>
              </w:rPr>
              <w:t>采集模块：人员完成心电图</w:t>
            </w:r>
            <w:r>
              <w:rPr>
                <w:rFonts w:hint="eastAsia"/>
                <w:color w:val="auto"/>
                <w:spacing w:val="-3"/>
                <w:sz w:val="24"/>
                <w:szCs w:val="24"/>
                <w:lang w:eastAsia="zh-CN"/>
              </w:rPr>
              <w:t>、</w:t>
            </w:r>
            <w:r>
              <w:rPr>
                <w:color w:val="auto"/>
                <w:spacing w:val="-3"/>
                <w:sz w:val="24"/>
                <w:szCs w:val="24"/>
              </w:rPr>
              <w:t>B超</w:t>
            </w:r>
            <w:r>
              <w:rPr>
                <w:rFonts w:hint="eastAsia"/>
                <w:color w:val="auto"/>
                <w:spacing w:val="-3"/>
                <w:sz w:val="24"/>
                <w:szCs w:val="24"/>
                <w:lang w:eastAsia="zh-CN"/>
              </w:rPr>
              <w:t>、</w:t>
            </w:r>
            <w:r>
              <w:rPr>
                <w:rFonts w:hint="eastAsia"/>
                <w:color w:val="auto"/>
                <w:spacing w:val="-3"/>
                <w:sz w:val="24"/>
                <w:szCs w:val="24"/>
                <w:lang w:val="en-US" w:eastAsia="zh-CN"/>
              </w:rPr>
              <w:t>DR</w:t>
            </w:r>
            <w:r>
              <w:rPr>
                <w:color w:val="auto"/>
                <w:spacing w:val="-3"/>
                <w:sz w:val="24"/>
                <w:szCs w:val="24"/>
              </w:rPr>
              <w:t>检查</w:t>
            </w:r>
            <w:r>
              <w:rPr>
                <w:color w:val="auto"/>
                <w:spacing w:val="-1"/>
                <w:sz w:val="24"/>
                <w:szCs w:val="24"/>
              </w:rPr>
              <w:t>后，</w:t>
            </w:r>
            <w:r>
              <w:rPr>
                <w:rFonts w:hint="eastAsia"/>
                <w:color w:val="auto"/>
                <w:spacing w:val="-1"/>
                <w:sz w:val="24"/>
                <w:szCs w:val="24"/>
                <w:lang w:val="en-US" w:eastAsia="zh-CN"/>
              </w:rPr>
              <w:t>根据现有技术条件，</w:t>
            </w:r>
            <w:r>
              <w:rPr>
                <w:color w:val="auto"/>
                <w:spacing w:val="-1"/>
                <w:sz w:val="24"/>
                <w:szCs w:val="24"/>
              </w:rPr>
              <w:t>系统可通过</w:t>
            </w:r>
            <w:r>
              <w:rPr>
                <w:rFonts w:hint="eastAsia"/>
                <w:color w:val="auto"/>
                <w:spacing w:val="-1"/>
                <w:sz w:val="24"/>
                <w:szCs w:val="24"/>
                <w:lang w:val="en-US" w:eastAsia="zh-CN"/>
              </w:rPr>
              <w:t>第三方接口、</w:t>
            </w:r>
            <w:r>
              <w:rPr>
                <w:color w:val="auto"/>
                <w:spacing w:val="-1"/>
                <w:sz w:val="24"/>
                <w:szCs w:val="24"/>
              </w:rPr>
              <w:t>局域网</w:t>
            </w:r>
            <w:r>
              <w:rPr>
                <w:rFonts w:hint="eastAsia"/>
                <w:color w:val="auto"/>
                <w:spacing w:val="-1"/>
                <w:sz w:val="24"/>
                <w:szCs w:val="24"/>
                <w:lang w:val="en-US" w:eastAsia="zh-CN"/>
              </w:rPr>
              <w:t>或</w:t>
            </w:r>
            <w:r>
              <w:rPr>
                <w:color w:val="auto"/>
                <w:spacing w:val="-1"/>
                <w:sz w:val="24"/>
                <w:szCs w:val="24"/>
              </w:rPr>
              <w:t>U盘提取传输等方式来采集心电图结果</w:t>
            </w:r>
            <w:r>
              <w:rPr>
                <w:color w:val="auto"/>
                <w:spacing w:val="-2"/>
                <w:sz w:val="24"/>
                <w:szCs w:val="24"/>
              </w:rPr>
              <w:t>数据，具备人工导入功能模块，图片</w:t>
            </w:r>
            <w:r>
              <w:rPr>
                <w:rFonts w:hint="eastAsia"/>
                <w:color w:val="auto"/>
                <w:spacing w:val="-2"/>
                <w:sz w:val="24"/>
                <w:szCs w:val="24"/>
                <w:lang w:val="en-US" w:eastAsia="zh-CN"/>
              </w:rPr>
              <w:t>及结论</w:t>
            </w:r>
            <w:r>
              <w:rPr>
                <w:color w:val="auto"/>
                <w:spacing w:val="-2"/>
                <w:sz w:val="24"/>
                <w:szCs w:val="24"/>
              </w:rPr>
              <w:t>上传健康档案。</w:t>
            </w:r>
          </w:p>
        </w:tc>
        <w:tc>
          <w:tcPr>
            <w:tcW w:w="800" w:type="dxa"/>
          </w:tcPr>
          <w:p w14:paraId="3564EA5D">
            <w:pPr>
              <w:jc w:val="left"/>
              <w:rPr>
                <w:rFonts w:ascii="宋体" w:hAnsi="宋体" w:eastAsia="宋体"/>
                <w:color w:val="auto"/>
                <w:szCs w:val="21"/>
              </w:rPr>
            </w:pPr>
          </w:p>
        </w:tc>
      </w:tr>
      <w:tr w14:paraId="73A37F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1" w:hRule="atLeast"/>
          <w:jc w:val="center"/>
        </w:trPr>
        <w:tc>
          <w:tcPr>
            <w:tcW w:w="830" w:type="dxa"/>
            <w:vAlign w:val="center"/>
          </w:tcPr>
          <w:p w14:paraId="6BBD1981">
            <w:pPr>
              <w:jc w:val="center"/>
              <w:rPr>
                <w:rFonts w:ascii="宋体" w:hAnsi="宋体" w:eastAsia="宋体"/>
                <w:color w:val="auto"/>
                <w:szCs w:val="21"/>
              </w:rPr>
            </w:pPr>
            <w:r>
              <w:rPr>
                <w:rFonts w:hint="eastAsia" w:ascii="宋体" w:hAnsi="宋体" w:eastAsia="宋体"/>
                <w:color w:val="auto"/>
                <w:szCs w:val="21"/>
              </w:rPr>
              <w:t>5</w:t>
            </w:r>
          </w:p>
        </w:tc>
        <w:tc>
          <w:tcPr>
            <w:tcW w:w="7462" w:type="dxa"/>
          </w:tcPr>
          <w:p w14:paraId="4F8E67A2">
            <w:pPr>
              <w:jc w:val="left"/>
              <w:rPr>
                <w:rFonts w:ascii="宋体" w:hAnsi="宋体" w:eastAsia="宋体"/>
                <w:color w:val="auto"/>
                <w:sz w:val="24"/>
                <w:szCs w:val="24"/>
              </w:rPr>
            </w:pPr>
            <w:r>
              <w:rPr>
                <w:color w:val="auto"/>
                <w:spacing w:val="-7"/>
                <w:sz w:val="24"/>
                <w:szCs w:val="24"/>
              </w:rPr>
              <w:t>问询及中医体质辨识：方便用户采集体检人员问询数据，</w:t>
            </w:r>
            <w:r>
              <w:rPr>
                <w:color w:val="auto"/>
                <w:spacing w:val="-4"/>
                <w:sz w:val="24"/>
                <w:szCs w:val="24"/>
              </w:rPr>
              <w:t>包括症状、一般状况、生活方式、脏器功能</w:t>
            </w:r>
            <w:r>
              <w:rPr>
                <w:color w:val="auto"/>
                <w:spacing w:val="-5"/>
                <w:sz w:val="24"/>
                <w:szCs w:val="24"/>
              </w:rPr>
              <w:t>、查体、辅助检查、</w:t>
            </w:r>
            <w:r>
              <w:rPr>
                <w:color w:val="auto"/>
                <w:spacing w:val="4"/>
                <w:sz w:val="24"/>
                <w:szCs w:val="24"/>
              </w:rPr>
              <w:t>现存主要健康问题、住院治疗情况、主要用药情况、非免疫规划预防接种史等；系统可通过中医体质辨识问题的问询自动计</w:t>
            </w:r>
            <w:r>
              <w:rPr>
                <w:color w:val="auto"/>
                <w:spacing w:val="-3"/>
                <w:sz w:val="24"/>
                <w:szCs w:val="24"/>
              </w:rPr>
              <w:t>算总分，并可自动判断产生对应的中医体质。</w:t>
            </w:r>
          </w:p>
        </w:tc>
        <w:tc>
          <w:tcPr>
            <w:tcW w:w="800" w:type="dxa"/>
          </w:tcPr>
          <w:p w14:paraId="263E3593">
            <w:pPr>
              <w:jc w:val="left"/>
              <w:rPr>
                <w:rFonts w:ascii="宋体" w:hAnsi="宋体" w:eastAsia="宋体"/>
                <w:color w:val="auto"/>
                <w:szCs w:val="21"/>
              </w:rPr>
            </w:pPr>
          </w:p>
        </w:tc>
      </w:tr>
      <w:tr w14:paraId="73E2F2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9" w:hRule="atLeast"/>
          <w:jc w:val="center"/>
        </w:trPr>
        <w:tc>
          <w:tcPr>
            <w:tcW w:w="830" w:type="dxa"/>
            <w:vAlign w:val="center"/>
          </w:tcPr>
          <w:p w14:paraId="63113BA2">
            <w:pPr>
              <w:jc w:val="center"/>
              <w:rPr>
                <w:rFonts w:ascii="宋体" w:hAnsi="宋体" w:eastAsia="宋体"/>
                <w:color w:val="auto"/>
                <w:szCs w:val="21"/>
              </w:rPr>
            </w:pPr>
            <w:r>
              <w:rPr>
                <w:rFonts w:hint="eastAsia" w:ascii="宋体" w:hAnsi="宋体" w:eastAsia="宋体"/>
                <w:color w:val="auto"/>
                <w:szCs w:val="21"/>
              </w:rPr>
              <w:t>6</w:t>
            </w:r>
          </w:p>
        </w:tc>
        <w:tc>
          <w:tcPr>
            <w:tcW w:w="7462" w:type="dxa"/>
          </w:tcPr>
          <w:p w14:paraId="51FFE6C5">
            <w:pPr>
              <w:jc w:val="left"/>
              <w:rPr>
                <w:rFonts w:ascii="宋体" w:hAnsi="宋体" w:eastAsia="宋体"/>
                <w:color w:val="auto"/>
                <w:sz w:val="24"/>
                <w:szCs w:val="24"/>
              </w:rPr>
            </w:pPr>
            <w:r>
              <w:rPr>
                <w:color w:val="auto"/>
                <w:spacing w:val="1"/>
                <w:sz w:val="24"/>
                <w:szCs w:val="24"/>
              </w:rPr>
              <w:t>数据分析功能：可生成和打印数据统计报表，数据统</w:t>
            </w:r>
            <w:r>
              <w:rPr>
                <w:color w:val="auto"/>
                <w:spacing w:val="3"/>
                <w:sz w:val="24"/>
                <w:szCs w:val="24"/>
              </w:rPr>
              <w:t>计报表应对应相关检测类别，并带有形状图表，以便用户解读</w:t>
            </w:r>
            <w:r>
              <w:rPr>
                <w:color w:val="auto"/>
                <w:spacing w:val="4"/>
                <w:sz w:val="24"/>
                <w:szCs w:val="24"/>
              </w:rPr>
              <w:t>报告。系统实现自动智能分析异常的健康检查数据，包括异常心电图、异常血压、血糖、尿常规等体检数据，并可生成异常数据的相关</w:t>
            </w:r>
            <w:r>
              <w:rPr>
                <w:rFonts w:hint="eastAsia"/>
                <w:color w:val="auto"/>
                <w:spacing w:val="4"/>
                <w:sz w:val="24"/>
                <w:szCs w:val="24"/>
                <w:lang w:eastAsia="zh-CN"/>
              </w:rPr>
              <w:t>检验</w:t>
            </w:r>
            <w:r>
              <w:rPr>
                <w:color w:val="auto"/>
                <w:spacing w:val="4"/>
                <w:sz w:val="24"/>
                <w:szCs w:val="24"/>
              </w:rPr>
              <w:t>报告。系统支持打印第三版公卫体检表及体检</w:t>
            </w:r>
            <w:r>
              <w:rPr>
                <w:color w:val="auto"/>
                <w:spacing w:val="-6"/>
                <w:sz w:val="24"/>
                <w:szCs w:val="24"/>
              </w:rPr>
              <w:t>反馈单样表。</w:t>
            </w:r>
          </w:p>
        </w:tc>
        <w:tc>
          <w:tcPr>
            <w:tcW w:w="800" w:type="dxa"/>
          </w:tcPr>
          <w:p w14:paraId="5097CF24">
            <w:pPr>
              <w:jc w:val="left"/>
              <w:rPr>
                <w:rFonts w:ascii="宋体" w:hAnsi="宋体" w:eastAsia="宋体"/>
                <w:color w:val="auto"/>
                <w:szCs w:val="21"/>
              </w:rPr>
            </w:pPr>
          </w:p>
        </w:tc>
      </w:tr>
      <w:tr w14:paraId="4FA311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0" w:hRule="atLeast"/>
          <w:jc w:val="center"/>
        </w:trPr>
        <w:tc>
          <w:tcPr>
            <w:tcW w:w="830" w:type="dxa"/>
            <w:vAlign w:val="center"/>
          </w:tcPr>
          <w:p w14:paraId="10465745">
            <w:pPr>
              <w:jc w:val="center"/>
              <w:rPr>
                <w:rFonts w:ascii="宋体" w:hAnsi="宋体" w:eastAsia="宋体"/>
                <w:color w:val="auto"/>
                <w:szCs w:val="21"/>
              </w:rPr>
            </w:pPr>
            <w:r>
              <w:rPr>
                <w:rFonts w:hint="eastAsia" w:ascii="宋体" w:hAnsi="宋体" w:eastAsia="宋体"/>
                <w:color w:val="auto"/>
                <w:szCs w:val="21"/>
              </w:rPr>
              <w:t>7</w:t>
            </w:r>
          </w:p>
        </w:tc>
        <w:tc>
          <w:tcPr>
            <w:tcW w:w="7462" w:type="dxa"/>
          </w:tcPr>
          <w:p w14:paraId="3EBD0B27">
            <w:pPr>
              <w:pStyle w:val="18"/>
              <w:keepNext w:val="0"/>
              <w:keepLines w:val="0"/>
              <w:pageBreakBefore w:val="0"/>
              <w:widowControl w:val="0"/>
              <w:kinsoku/>
              <w:wordWrap w:val="0"/>
              <w:overflowPunct/>
              <w:topLinePunct/>
              <w:autoSpaceDE/>
              <w:autoSpaceDN/>
              <w:bidi w:val="0"/>
              <w:adjustRightInd/>
              <w:snapToGrid/>
              <w:spacing w:line="240" w:lineRule="auto"/>
              <w:ind w:right="0"/>
              <w:textAlignment w:val="auto"/>
              <w:rPr>
                <w:rFonts w:hint="eastAsia" w:ascii="宋体" w:hAnsi="宋体" w:eastAsia="宋体"/>
                <w:color w:val="auto"/>
                <w:sz w:val="24"/>
                <w:szCs w:val="24"/>
              </w:rPr>
            </w:pPr>
            <w:r>
              <w:rPr>
                <w:color w:val="auto"/>
                <w:spacing w:val="-10"/>
                <w:sz w:val="24"/>
                <w:szCs w:val="24"/>
              </w:rPr>
              <w:t>系统统计分析，可以根据用户体检出来的数据情况，</w:t>
            </w:r>
            <w:r>
              <w:rPr>
                <w:rFonts w:hint="eastAsia"/>
                <w:color w:val="auto"/>
                <w:spacing w:val="-10"/>
                <w:sz w:val="24"/>
                <w:szCs w:val="24"/>
                <w:lang w:val="en-US" w:eastAsia="zh-CN"/>
              </w:rPr>
              <w:t>根据社区卫生服务中心要求对</w:t>
            </w:r>
            <w:r>
              <w:rPr>
                <w:color w:val="auto"/>
                <w:spacing w:val="2"/>
                <w:sz w:val="24"/>
                <w:szCs w:val="24"/>
              </w:rPr>
              <w:t>体检人员本年度数据整体进行分析形成报告，并</w:t>
            </w:r>
            <w:r>
              <w:rPr>
                <w:color w:val="auto"/>
                <w:spacing w:val="-5"/>
                <w:sz w:val="24"/>
                <w:szCs w:val="24"/>
              </w:rPr>
              <w:t>且可以根据实际需要进行修改。</w:t>
            </w:r>
          </w:p>
        </w:tc>
        <w:tc>
          <w:tcPr>
            <w:tcW w:w="800" w:type="dxa"/>
          </w:tcPr>
          <w:p w14:paraId="31E5A844">
            <w:pPr>
              <w:jc w:val="left"/>
              <w:rPr>
                <w:rFonts w:ascii="宋体" w:hAnsi="宋体" w:eastAsia="宋体"/>
                <w:color w:val="auto"/>
                <w:szCs w:val="21"/>
              </w:rPr>
            </w:pPr>
          </w:p>
        </w:tc>
      </w:tr>
      <w:tr w14:paraId="12D205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9" w:hRule="atLeast"/>
          <w:jc w:val="center"/>
        </w:trPr>
        <w:tc>
          <w:tcPr>
            <w:tcW w:w="830" w:type="dxa"/>
            <w:vAlign w:val="center"/>
          </w:tcPr>
          <w:p w14:paraId="0E1FA338">
            <w:pPr>
              <w:jc w:val="center"/>
              <w:rPr>
                <w:rFonts w:ascii="宋体" w:hAnsi="宋体" w:eastAsia="宋体"/>
                <w:color w:val="auto"/>
                <w:szCs w:val="21"/>
              </w:rPr>
            </w:pPr>
            <w:r>
              <w:rPr>
                <w:rFonts w:hint="eastAsia" w:ascii="宋体" w:hAnsi="宋体" w:eastAsia="宋体"/>
                <w:color w:val="auto"/>
                <w:szCs w:val="21"/>
              </w:rPr>
              <w:t>8</w:t>
            </w:r>
          </w:p>
        </w:tc>
        <w:tc>
          <w:tcPr>
            <w:tcW w:w="7462" w:type="dxa"/>
          </w:tcPr>
          <w:p w14:paraId="4C08A139">
            <w:pPr>
              <w:jc w:val="left"/>
              <w:rPr>
                <w:rFonts w:hint="eastAsia" w:ascii="宋体" w:hAnsi="宋体" w:eastAsia="宋体"/>
                <w:color w:val="auto"/>
                <w:sz w:val="24"/>
                <w:szCs w:val="24"/>
              </w:rPr>
            </w:pPr>
            <w:r>
              <w:rPr>
                <w:color w:val="auto"/>
                <w:spacing w:val="1"/>
                <w:sz w:val="24"/>
                <w:szCs w:val="24"/>
              </w:rPr>
              <w:t>系统具有完善的数据缺项筛选功能，可根据管理账户授</w:t>
            </w:r>
            <w:r>
              <w:rPr>
                <w:color w:val="auto"/>
                <w:spacing w:val="-5"/>
                <w:sz w:val="24"/>
                <w:szCs w:val="24"/>
              </w:rPr>
              <w:t>权进行复核修正。</w:t>
            </w:r>
          </w:p>
        </w:tc>
        <w:tc>
          <w:tcPr>
            <w:tcW w:w="800" w:type="dxa"/>
          </w:tcPr>
          <w:p w14:paraId="6F147B3D">
            <w:pPr>
              <w:jc w:val="left"/>
              <w:rPr>
                <w:rFonts w:ascii="宋体" w:hAnsi="宋体" w:eastAsia="宋体"/>
                <w:color w:val="auto"/>
                <w:szCs w:val="21"/>
              </w:rPr>
            </w:pPr>
          </w:p>
        </w:tc>
      </w:tr>
      <w:tr w14:paraId="16D0CB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9" w:hRule="atLeast"/>
          <w:jc w:val="center"/>
        </w:trPr>
        <w:tc>
          <w:tcPr>
            <w:tcW w:w="830" w:type="dxa"/>
            <w:vAlign w:val="center"/>
          </w:tcPr>
          <w:p w14:paraId="62DF3B5A">
            <w:pPr>
              <w:jc w:val="center"/>
              <w:rPr>
                <w:rFonts w:ascii="宋体" w:hAnsi="宋体" w:eastAsia="宋体"/>
                <w:color w:val="auto"/>
                <w:szCs w:val="21"/>
              </w:rPr>
            </w:pPr>
            <w:r>
              <w:rPr>
                <w:rFonts w:hint="eastAsia" w:ascii="宋体" w:hAnsi="宋体" w:eastAsia="宋体"/>
                <w:color w:val="auto"/>
                <w:szCs w:val="21"/>
              </w:rPr>
              <w:t>9</w:t>
            </w:r>
          </w:p>
        </w:tc>
        <w:tc>
          <w:tcPr>
            <w:tcW w:w="7462" w:type="dxa"/>
          </w:tcPr>
          <w:p w14:paraId="35E92EE9">
            <w:pPr>
              <w:jc w:val="left"/>
              <w:rPr>
                <w:rFonts w:hint="eastAsia" w:ascii="宋体" w:hAnsi="宋体" w:eastAsia="宋体"/>
                <w:color w:val="auto"/>
                <w:sz w:val="24"/>
                <w:szCs w:val="24"/>
              </w:rPr>
            </w:pPr>
            <w:r>
              <w:rPr>
                <w:color w:val="auto"/>
                <w:spacing w:val="4"/>
                <w:sz w:val="24"/>
                <w:szCs w:val="24"/>
              </w:rPr>
              <w:t>采集模块完成后，针对每一个体检人员出具纸质体检报告，根据体检报告的具体内容，智能分析，并个性化</w:t>
            </w:r>
            <w:r>
              <w:rPr>
                <w:rFonts w:hint="eastAsia"/>
                <w:color w:val="auto"/>
                <w:spacing w:val="4"/>
                <w:sz w:val="24"/>
                <w:szCs w:val="24"/>
                <w:lang w:eastAsia="zh-CN"/>
              </w:rPr>
              <w:t>地</w:t>
            </w:r>
            <w:r>
              <w:rPr>
                <w:color w:val="auto"/>
                <w:spacing w:val="4"/>
                <w:sz w:val="24"/>
                <w:szCs w:val="24"/>
              </w:rPr>
              <w:t>给出体</w:t>
            </w:r>
            <w:r>
              <w:rPr>
                <w:color w:val="auto"/>
                <w:spacing w:val="-9"/>
                <w:sz w:val="24"/>
                <w:szCs w:val="24"/>
              </w:rPr>
              <w:t>检建议。</w:t>
            </w:r>
          </w:p>
        </w:tc>
        <w:tc>
          <w:tcPr>
            <w:tcW w:w="800" w:type="dxa"/>
          </w:tcPr>
          <w:p w14:paraId="3AEC28F2">
            <w:pPr>
              <w:jc w:val="left"/>
              <w:rPr>
                <w:rFonts w:ascii="宋体" w:hAnsi="宋体" w:eastAsia="宋体"/>
                <w:color w:val="auto"/>
                <w:szCs w:val="21"/>
              </w:rPr>
            </w:pPr>
          </w:p>
        </w:tc>
      </w:tr>
      <w:tr w14:paraId="075F27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0" w:hRule="atLeast"/>
          <w:jc w:val="center"/>
        </w:trPr>
        <w:tc>
          <w:tcPr>
            <w:tcW w:w="830" w:type="dxa"/>
            <w:vAlign w:val="center"/>
          </w:tcPr>
          <w:p w14:paraId="001A47D9">
            <w:pPr>
              <w:jc w:val="center"/>
              <w:rPr>
                <w:rFonts w:ascii="宋体" w:hAnsi="宋体" w:eastAsia="宋体"/>
                <w:color w:val="auto"/>
                <w:szCs w:val="21"/>
              </w:rPr>
            </w:pPr>
            <w:r>
              <w:rPr>
                <w:rFonts w:hint="eastAsia" w:ascii="宋体" w:hAnsi="宋体" w:eastAsia="宋体"/>
                <w:color w:val="auto"/>
                <w:szCs w:val="21"/>
              </w:rPr>
              <w:t>10</w:t>
            </w:r>
          </w:p>
        </w:tc>
        <w:tc>
          <w:tcPr>
            <w:tcW w:w="7462" w:type="dxa"/>
          </w:tcPr>
          <w:p w14:paraId="00AEA6BC">
            <w:pPr>
              <w:jc w:val="left"/>
              <w:rPr>
                <w:rFonts w:hint="eastAsia" w:ascii="宋体" w:hAnsi="宋体" w:eastAsia="宋体"/>
                <w:color w:val="auto"/>
                <w:sz w:val="24"/>
                <w:szCs w:val="24"/>
              </w:rPr>
            </w:pPr>
            <w:r>
              <w:rPr>
                <w:color w:val="auto"/>
                <w:spacing w:val="-1"/>
                <w:sz w:val="24"/>
                <w:szCs w:val="24"/>
              </w:rPr>
              <w:t>系统支持导出电子体检报告，包含WORD、PD</w:t>
            </w:r>
            <w:r>
              <w:rPr>
                <w:color w:val="auto"/>
                <w:spacing w:val="-2"/>
                <w:sz w:val="24"/>
                <w:szCs w:val="24"/>
              </w:rPr>
              <w:t>F等格式的</w:t>
            </w:r>
            <w:r>
              <w:rPr>
                <w:color w:val="auto"/>
                <w:spacing w:val="-8"/>
                <w:sz w:val="24"/>
                <w:szCs w:val="24"/>
              </w:rPr>
              <w:t>体检报告。</w:t>
            </w:r>
          </w:p>
        </w:tc>
        <w:tc>
          <w:tcPr>
            <w:tcW w:w="800" w:type="dxa"/>
          </w:tcPr>
          <w:p w14:paraId="2849BA9C">
            <w:pPr>
              <w:jc w:val="left"/>
              <w:rPr>
                <w:rFonts w:ascii="宋体" w:hAnsi="宋体" w:eastAsia="宋体"/>
                <w:color w:val="auto"/>
                <w:szCs w:val="21"/>
              </w:rPr>
            </w:pPr>
          </w:p>
        </w:tc>
      </w:tr>
      <w:tr w14:paraId="796311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9" w:hRule="atLeast"/>
          <w:jc w:val="center"/>
        </w:trPr>
        <w:tc>
          <w:tcPr>
            <w:tcW w:w="830" w:type="dxa"/>
            <w:vAlign w:val="center"/>
          </w:tcPr>
          <w:p w14:paraId="41B4D7F4">
            <w:pPr>
              <w:jc w:val="center"/>
              <w:rPr>
                <w:rFonts w:ascii="宋体" w:hAnsi="宋体" w:eastAsia="宋体"/>
                <w:color w:val="auto"/>
                <w:szCs w:val="21"/>
              </w:rPr>
            </w:pPr>
            <w:r>
              <w:rPr>
                <w:rFonts w:hint="eastAsia" w:ascii="宋体" w:hAnsi="宋体" w:eastAsia="宋体"/>
                <w:color w:val="auto"/>
                <w:szCs w:val="21"/>
              </w:rPr>
              <w:t>11</w:t>
            </w:r>
          </w:p>
        </w:tc>
        <w:tc>
          <w:tcPr>
            <w:tcW w:w="7462" w:type="dxa"/>
          </w:tcPr>
          <w:p w14:paraId="593E00EA">
            <w:pPr>
              <w:jc w:val="left"/>
              <w:rPr>
                <w:rFonts w:hint="eastAsia" w:ascii="宋体" w:hAnsi="宋体" w:eastAsia="宋体"/>
                <w:color w:val="auto"/>
                <w:sz w:val="24"/>
                <w:szCs w:val="24"/>
              </w:rPr>
            </w:pPr>
            <w:r>
              <w:rPr>
                <w:color w:val="auto"/>
                <w:spacing w:val="-1"/>
                <w:sz w:val="24"/>
                <w:szCs w:val="24"/>
              </w:rPr>
              <w:t>体检报告可通过接口传输至平台管理端，支持体检居民</w:t>
            </w:r>
            <w:r>
              <w:rPr>
                <w:color w:val="auto"/>
                <w:spacing w:val="-3"/>
                <w:sz w:val="24"/>
                <w:szCs w:val="24"/>
              </w:rPr>
              <w:t>可通过微信公众号查询体检报告</w:t>
            </w:r>
            <w:r>
              <w:rPr>
                <w:rFonts w:hint="eastAsia"/>
                <w:color w:val="auto"/>
                <w:spacing w:val="-3"/>
                <w:sz w:val="24"/>
                <w:szCs w:val="24"/>
                <w:lang w:val="en-US" w:eastAsia="zh-CN"/>
              </w:rPr>
              <w:t>和居民个人健康档案</w:t>
            </w:r>
            <w:r>
              <w:rPr>
                <w:rFonts w:hint="eastAsia" w:cs="宋体"/>
                <w:b w:val="0"/>
                <w:bCs w:val="0"/>
                <w:i w:val="0"/>
                <w:caps w:val="0"/>
                <w:color w:val="auto"/>
                <w:spacing w:val="0"/>
                <w:sz w:val="24"/>
                <w:szCs w:val="24"/>
                <w:highlight w:val="none"/>
                <w:shd w:val="clear" w:color="auto" w:fill="FFFFFF"/>
                <w:lang w:val="en-US" w:eastAsia="zh-CN"/>
              </w:rPr>
              <w:t>，并对查询阅览数据进行统计。</w:t>
            </w:r>
          </w:p>
        </w:tc>
        <w:tc>
          <w:tcPr>
            <w:tcW w:w="800" w:type="dxa"/>
          </w:tcPr>
          <w:p w14:paraId="06642C4C">
            <w:pPr>
              <w:jc w:val="left"/>
              <w:rPr>
                <w:rFonts w:ascii="宋体" w:hAnsi="宋体" w:eastAsia="宋体"/>
                <w:color w:val="auto"/>
                <w:szCs w:val="21"/>
              </w:rPr>
            </w:pPr>
          </w:p>
        </w:tc>
      </w:tr>
      <w:tr w14:paraId="274307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0" w:hRule="atLeast"/>
          <w:jc w:val="center"/>
        </w:trPr>
        <w:tc>
          <w:tcPr>
            <w:tcW w:w="830" w:type="dxa"/>
            <w:vAlign w:val="center"/>
          </w:tcPr>
          <w:p w14:paraId="709F6E66">
            <w:pPr>
              <w:jc w:val="center"/>
              <w:rPr>
                <w:rFonts w:ascii="宋体" w:hAnsi="宋体" w:eastAsia="宋体"/>
                <w:color w:val="auto"/>
                <w:szCs w:val="21"/>
              </w:rPr>
            </w:pPr>
            <w:r>
              <w:rPr>
                <w:rFonts w:hint="eastAsia" w:ascii="宋体" w:hAnsi="宋体" w:eastAsia="宋体"/>
                <w:color w:val="auto"/>
                <w:szCs w:val="21"/>
              </w:rPr>
              <w:t>12</w:t>
            </w:r>
          </w:p>
        </w:tc>
        <w:tc>
          <w:tcPr>
            <w:tcW w:w="7462" w:type="dxa"/>
          </w:tcPr>
          <w:p w14:paraId="61C12174">
            <w:pPr>
              <w:jc w:val="left"/>
              <w:rPr>
                <w:rFonts w:hint="eastAsia" w:ascii="宋体" w:hAnsi="宋体" w:eastAsia="宋体"/>
                <w:color w:val="auto"/>
                <w:sz w:val="24"/>
                <w:szCs w:val="24"/>
              </w:rPr>
            </w:pPr>
            <w:r>
              <w:rPr>
                <w:color w:val="auto"/>
                <w:spacing w:val="1"/>
                <w:sz w:val="24"/>
                <w:szCs w:val="24"/>
              </w:rPr>
              <w:t>可视化平台：实时动态显示登记人数、体检人数，并</w:t>
            </w:r>
            <w:r>
              <w:rPr>
                <w:color w:val="auto"/>
                <w:spacing w:val="-1"/>
                <w:sz w:val="24"/>
                <w:szCs w:val="24"/>
              </w:rPr>
              <w:t>以图形的方式展现按年龄/人群分类等统计结果（如饼形图、柱</w:t>
            </w:r>
            <w:r>
              <w:rPr>
                <w:color w:val="auto"/>
                <w:spacing w:val="-7"/>
                <w:sz w:val="24"/>
                <w:szCs w:val="24"/>
              </w:rPr>
              <w:t>状图</w:t>
            </w:r>
            <w:r>
              <w:rPr>
                <w:color w:val="auto"/>
                <w:spacing w:val="-23"/>
                <w:sz w:val="24"/>
                <w:szCs w:val="24"/>
              </w:rPr>
              <w:t>），</w:t>
            </w:r>
            <w:r>
              <w:rPr>
                <w:color w:val="auto"/>
                <w:spacing w:val="-7"/>
                <w:sz w:val="24"/>
                <w:szCs w:val="24"/>
              </w:rPr>
              <w:t>供相关部门查看以提供决策依据。</w:t>
            </w:r>
          </w:p>
        </w:tc>
        <w:tc>
          <w:tcPr>
            <w:tcW w:w="800" w:type="dxa"/>
          </w:tcPr>
          <w:p w14:paraId="1B12FFD8">
            <w:pPr>
              <w:jc w:val="left"/>
              <w:rPr>
                <w:rFonts w:ascii="宋体" w:hAnsi="宋体" w:eastAsia="宋体"/>
                <w:color w:val="auto"/>
                <w:szCs w:val="21"/>
              </w:rPr>
            </w:pPr>
          </w:p>
        </w:tc>
      </w:tr>
      <w:tr w14:paraId="122431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0" w:hRule="atLeast"/>
          <w:jc w:val="center"/>
        </w:trPr>
        <w:tc>
          <w:tcPr>
            <w:tcW w:w="830" w:type="dxa"/>
            <w:vAlign w:val="center"/>
          </w:tcPr>
          <w:p w14:paraId="17134D37">
            <w:pPr>
              <w:jc w:val="center"/>
              <w:rPr>
                <w:rFonts w:ascii="宋体" w:hAnsi="宋体" w:eastAsia="宋体"/>
                <w:color w:val="auto"/>
                <w:szCs w:val="21"/>
              </w:rPr>
            </w:pPr>
            <w:r>
              <w:rPr>
                <w:rFonts w:hint="eastAsia" w:ascii="宋体" w:hAnsi="宋体" w:eastAsia="宋体"/>
                <w:color w:val="auto"/>
                <w:szCs w:val="21"/>
              </w:rPr>
              <w:t>13</w:t>
            </w:r>
          </w:p>
        </w:tc>
        <w:tc>
          <w:tcPr>
            <w:tcW w:w="7462" w:type="dxa"/>
          </w:tcPr>
          <w:p w14:paraId="5EB41F5E">
            <w:pPr>
              <w:pStyle w:val="18"/>
              <w:keepNext w:val="0"/>
              <w:keepLines w:val="0"/>
              <w:pageBreakBefore w:val="0"/>
              <w:widowControl w:val="0"/>
              <w:kinsoku/>
              <w:wordWrap w:val="0"/>
              <w:overflowPunct/>
              <w:topLinePunct/>
              <w:autoSpaceDE/>
              <w:autoSpaceDN/>
              <w:bidi w:val="0"/>
              <w:adjustRightInd/>
              <w:snapToGrid/>
              <w:spacing w:line="240" w:lineRule="auto"/>
              <w:ind w:right="0"/>
              <w:textAlignment w:val="auto"/>
              <w:rPr>
                <w:rFonts w:hint="eastAsia" w:ascii="宋体" w:hAnsi="宋体" w:eastAsia="宋体"/>
                <w:color w:val="auto"/>
                <w:sz w:val="24"/>
                <w:szCs w:val="24"/>
              </w:rPr>
            </w:pPr>
            <w:r>
              <w:rPr>
                <w:color w:val="auto"/>
                <w:spacing w:val="1"/>
                <w:sz w:val="24"/>
                <w:szCs w:val="24"/>
              </w:rPr>
              <w:t>管理模块：授权码设置，按照人数进行授权管理；系统</w:t>
            </w:r>
            <w:r>
              <w:rPr>
                <w:color w:val="auto"/>
                <w:spacing w:val="4"/>
                <w:sz w:val="24"/>
                <w:szCs w:val="24"/>
              </w:rPr>
              <w:t>可以设置技术要求以便对接第三方数据（实验室、区域检验中</w:t>
            </w:r>
            <w:r>
              <w:rPr>
                <w:color w:val="auto"/>
                <w:spacing w:val="-7"/>
                <w:sz w:val="24"/>
                <w:szCs w:val="24"/>
              </w:rPr>
              <w:t>心、院内设备</w:t>
            </w:r>
            <w:r>
              <w:rPr>
                <w:color w:val="auto"/>
                <w:spacing w:val="22"/>
                <w:sz w:val="24"/>
                <w:szCs w:val="24"/>
              </w:rPr>
              <w:t>）；</w:t>
            </w:r>
            <w:r>
              <w:rPr>
                <w:color w:val="auto"/>
                <w:spacing w:val="-7"/>
                <w:sz w:val="24"/>
                <w:szCs w:val="24"/>
              </w:rPr>
              <w:t>系统可以设置并可自定义硬件技术要求，用户</w:t>
            </w:r>
            <w:r>
              <w:rPr>
                <w:color w:val="auto"/>
                <w:spacing w:val="-3"/>
                <w:sz w:val="24"/>
                <w:szCs w:val="24"/>
              </w:rPr>
              <w:t>更换硬件型号或品牌能够继续使用本系统。</w:t>
            </w:r>
          </w:p>
        </w:tc>
        <w:tc>
          <w:tcPr>
            <w:tcW w:w="800" w:type="dxa"/>
          </w:tcPr>
          <w:p w14:paraId="43C5D0C8">
            <w:pPr>
              <w:jc w:val="left"/>
              <w:rPr>
                <w:rFonts w:ascii="宋体" w:hAnsi="宋体" w:eastAsia="宋体"/>
                <w:color w:val="auto"/>
                <w:szCs w:val="21"/>
              </w:rPr>
            </w:pPr>
          </w:p>
        </w:tc>
      </w:tr>
      <w:tr w14:paraId="483633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0" w:hRule="atLeast"/>
          <w:jc w:val="center"/>
        </w:trPr>
        <w:tc>
          <w:tcPr>
            <w:tcW w:w="830" w:type="dxa"/>
            <w:vAlign w:val="center"/>
          </w:tcPr>
          <w:p w14:paraId="34D01145">
            <w:pPr>
              <w:jc w:val="center"/>
              <w:rPr>
                <w:rFonts w:ascii="宋体" w:hAnsi="宋体" w:eastAsia="宋体"/>
                <w:color w:val="auto"/>
                <w:szCs w:val="21"/>
              </w:rPr>
            </w:pPr>
            <w:r>
              <w:rPr>
                <w:rFonts w:hint="eastAsia" w:ascii="宋体" w:hAnsi="宋体" w:eastAsia="宋体"/>
                <w:color w:val="auto"/>
                <w:szCs w:val="21"/>
              </w:rPr>
              <w:t>14</w:t>
            </w:r>
          </w:p>
        </w:tc>
        <w:tc>
          <w:tcPr>
            <w:tcW w:w="7462" w:type="dxa"/>
          </w:tcPr>
          <w:p w14:paraId="09BB6088">
            <w:pPr>
              <w:jc w:val="left"/>
              <w:rPr>
                <w:rFonts w:hint="eastAsia" w:ascii="宋体" w:hAnsi="宋体" w:eastAsia="宋体"/>
                <w:color w:val="auto"/>
                <w:sz w:val="24"/>
                <w:szCs w:val="24"/>
              </w:rPr>
            </w:pPr>
            <w:r>
              <w:rPr>
                <w:rFonts w:hint="eastAsia"/>
                <w:color w:val="auto"/>
                <w:spacing w:val="-7"/>
                <w:sz w:val="24"/>
                <w:szCs w:val="24"/>
              </w:rPr>
              <w:t>搭建“</w:t>
            </w:r>
            <w:r>
              <w:rPr>
                <w:rFonts w:hint="eastAsia"/>
                <w:color w:val="auto"/>
                <w:spacing w:val="-7"/>
                <w:sz w:val="24"/>
                <w:szCs w:val="24"/>
                <w:lang w:eastAsia="zh-CN"/>
              </w:rPr>
              <w:t>慢性病</w:t>
            </w:r>
            <w:r>
              <w:rPr>
                <w:rFonts w:hint="eastAsia"/>
                <w:color w:val="auto"/>
                <w:spacing w:val="-7"/>
                <w:sz w:val="24"/>
                <w:szCs w:val="24"/>
              </w:rPr>
              <w:t>诊断</w:t>
            </w:r>
            <w:r>
              <w:rPr>
                <w:rFonts w:hint="eastAsia"/>
                <w:color w:val="auto"/>
                <w:spacing w:val="-7"/>
                <w:sz w:val="24"/>
                <w:szCs w:val="24"/>
                <w:lang w:eastAsia="zh-CN"/>
              </w:rPr>
              <w:t>－</w:t>
            </w:r>
            <w:r>
              <w:rPr>
                <w:rFonts w:hint="eastAsia"/>
                <w:color w:val="auto"/>
                <w:spacing w:val="-7"/>
                <w:sz w:val="24"/>
                <w:szCs w:val="24"/>
              </w:rPr>
              <w:t>对应用药”关联数据库，预设常见</w:t>
            </w:r>
            <w:r>
              <w:rPr>
                <w:rFonts w:hint="eastAsia"/>
                <w:color w:val="auto"/>
                <w:spacing w:val="-7"/>
                <w:sz w:val="24"/>
                <w:szCs w:val="24"/>
                <w:lang w:eastAsia="zh-CN"/>
              </w:rPr>
              <w:t>慢性病</w:t>
            </w:r>
            <w:r>
              <w:rPr>
                <w:rFonts w:hint="eastAsia"/>
                <w:color w:val="auto"/>
                <w:spacing w:val="-7"/>
                <w:sz w:val="24"/>
                <w:szCs w:val="24"/>
              </w:rPr>
              <w:t>分类选项（高血压、2型糖尿病、冠心病、脑卒中、慢性阻塞性肺疾病等）；每类慢病绑定临床常用药物通用名下拉菜单，支持手动增补特殊用药。</w:t>
            </w:r>
          </w:p>
        </w:tc>
        <w:tc>
          <w:tcPr>
            <w:tcW w:w="800" w:type="dxa"/>
          </w:tcPr>
          <w:p w14:paraId="1FF55151">
            <w:pPr>
              <w:jc w:val="left"/>
              <w:rPr>
                <w:rFonts w:ascii="宋体" w:hAnsi="宋体" w:eastAsia="宋体"/>
                <w:color w:val="auto"/>
                <w:szCs w:val="21"/>
              </w:rPr>
            </w:pPr>
          </w:p>
        </w:tc>
      </w:tr>
      <w:tr w14:paraId="310B9C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9" w:hRule="atLeast"/>
          <w:jc w:val="center"/>
        </w:trPr>
        <w:tc>
          <w:tcPr>
            <w:tcW w:w="830" w:type="dxa"/>
            <w:vAlign w:val="center"/>
          </w:tcPr>
          <w:p w14:paraId="4DF66C0E">
            <w:pPr>
              <w:jc w:val="center"/>
              <w:rPr>
                <w:rFonts w:hint="default" w:ascii="宋体" w:hAnsi="宋体" w:eastAsia="宋体"/>
                <w:color w:val="auto"/>
                <w:szCs w:val="21"/>
                <w:lang w:val="en-US" w:eastAsia="zh-CN"/>
              </w:rPr>
            </w:pPr>
            <w:r>
              <w:rPr>
                <w:rFonts w:hint="eastAsia" w:ascii="宋体" w:hAnsi="宋体" w:eastAsia="宋体"/>
                <w:color w:val="auto"/>
                <w:szCs w:val="21"/>
                <w:lang w:val="en-US" w:eastAsia="zh-CN"/>
              </w:rPr>
              <w:t>15</w:t>
            </w:r>
          </w:p>
        </w:tc>
        <w:tc>
          <w:tcPr>
            <w:tcW w:w="7462" w:type="dxa"/>
          </w:tcPr>
          <w:p w14:paraId="521689D8">
            <w:pPr>
              <w:jc w:val="left"/>
              <w:rPr>
                <w:rFonts w:hint="eastAsia" w:ascii="宋体" w:hAnsi="宋体" w:eastAsia="宋体"/>
                <w:color w:val="auto"/>
                <w:sz w:val="24"/>
                <w:szCs w:val="24"/>
              </w:rPr>
            </w:pPr>
            <w:r>
              <w:rPr>
                <w:color w:val="auto"/>
                <w:spacing w:val="-8"/>
                <w:sz w:val="24"/>
                <w:szCs w:val="24"/>
              </w:rPr>
              <w:t>软件离线状态下可进行体检操作，并能自动保存至少</w:t>
            </w:r>
            <w:r>
              <w:rPr>
                <w:color w:val="auto"/>
                <w:spacing w:val="-1"/>
                <w:sz w:val="24"/>
                <w:szCs w:val="24"/>
              </w:rPr>
              <w:t>5000人次的检查数据。在联网状态下由终端软件进行交互后实</w:t>
            </w:r>
            <w:r>
              <w:rPr>
                <w:color w:val="auto"/>
                <w:spacing w:val="-2"/>
                <w:sz w:val="24"/>
                <w:szCs w:val="24"/>
              </w:rPr>
              <w:t>现数据自动上传到管理端平台，从管理端平台下载调用数据。</w:t>
            </w:r>
          </w:p>
        </w:tc>
        <w:tc>
          <w:tcPr>
            <w:tcW w:w="800" w:type="dxa"/>
          </w:tcPr>
          <w:p w14:paraId="0895335C">
            <w:pPr>
              <w:jc w:val="left"/>
              <w:rPr>
                <w:rFonts w:ascii="宋体" w:hAnsi="宋体" w:eastAsia="宋体"/>
                <w:color w:val="auto"/>
                <w:szCs w:val="21"/>
              </w:rPr>
            </w:pPr>
          </w:p>
        </w:tc>
      </w:tr>
      <w:tr w14:paraId="700684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8" w:hRule="atLeast"/>
          <w:jc w:val="center"/>
        </w:trPr>
        <w:tc>
          <w:tcPr>
            <w:tcW w:w="830" w:type="dxa"/>
            <w:vAlign w:val="center"/>
          </w:tcPr>
          <w:p w14:paraId="3726F5B7">
            <w:pPr>
              <w:jc w:val="center"/>
              <w:rPr>
                <w:rFonts w:hint="eastAsia" w:ascii="宋体" w:hAnsi="宋体" w:eastAsia="宋体"/>
                <w:color w:val="auto"/>
                <w:szCs w:val="21"/>
                <w:lang w:eastAsia="zh-CN"/>
              </w:rPr>
            </w:pPr>
            <w:r>
              <w:rPr>
                <w:rFonts w:hint="eastAsia" w:ascii="宋体" w:hAnsi="宋体" w:eastAsia="宋体"/>
                <w:color w:val="auto"/>
                <w:szCs w:val="21"/>
              </w:rPr>
              <w:t>1</w:t>
            </w:r>
            <w:r>
              <w:rPr>
                <w:rFonts w:hint="eastAsia" w:ascii="宋体" w:hAnsi="宋体" w:eastAsia="宋体"/>
                <w:color w:val="auto"/>
                <w:szCs w:val="21"/>
                <w:lang w:val="en-US" w:eastAsia="zh-CN"/>
              </w:rPr>
              <w:t>6</w:t>
            </w:r>
          </w:p>
        </w:tc>
        <w:tc>
          <w:tcPr>
            <w:tcW w:w="7462" w:type="dxa"/>
          </w:tcPr>
          <w:p w14:paraId="20F399AC">
            <w:pPr>
              <w:pStyle w:val="18"/>
              <w:keepNext w:val="0"/>
              <w:keepLines w:val="0"/>
              <w:pageBreakBefore w:val="0"/>
              <w:widowControl w:val="0"/>
              <w:kinsoku/>
              <w:wordWrap w:val="0"/>
              <w:overflowPunct/>
              <w:topLinePunct/>
              <w:autoSpaceDE/>
              <w:autoSpaceDN/>
              <w:bidi w:val="0"/>
              <w:adjustRightInd/>
              <w:snapToGrid/>
              <w:spacing w:line="240" w:lineRule="auto"/>
              <w:ind w:right="0"/>
              <w:jc w:val="both"/>
              <w:textAlignment w:val="auto"/>
              <w:rPr>
                <w:rFonts w:hint="eastAsia" w:ascii="宋体" w:hAnsi="宋体" w:eastAsia="宋体"/>
                <w:color w:val="auto"/>
                <w:sz w:val="24"/>
                <w:szCs w:val="24"/>
              </w:rPr>
            </w:pPr>
            <w:r>
              <w:rPr>
                <w:rFonts w:hint="eastAsia" w:ascii="宋体" w:hAnsi="宋体" w:eastAsia="宋体" w:cs="宋体"/>
                <w:b w:val="0"/>
                <w:bCs w:val="0"/>
                <w:i w:val="0"/>
                <w:caps w:val="0"/>
                <w:color w:val="auto"/>
                <w:spacing w:val="0"/>
                <w:sz w:val="24"/>
                <w:szCs w:val="24"/>
                <w:highlight w:val="none"/>
                <w:shd w:val="clear" w:color="auto" w:fill="FFFFFF"/>
                <w:lang w:val="en-US" w:eastAsia="zh-CN"/>
              </w:rPr>
              <w:t>家庭医生签约线上技术服务：可支持采集居民签名，并按照采购人需求在体检报告上自动生成家庭医生纸质</w:t>
            </w:r>
            <w:r>
              <w:rPr>
                <w:rFonts w:hint="eastAsia" w:cs="宋体"/>
                <w:b w:val="0"/>
                <w:bCs w:val="0"/>
                <w:i w:val="0"/>
                <w:caps w:val="0"/>
                <w:color w:val="auto"/>
                <w:spacing w:val="0"/>
                <w:sz w:val="24"/>
                <w:szCs w:val="24"/>
                <w:highlight w:val="none"/>
                <w:shd w:val="clear" w:color="auto" w:fill="FFFFFF"/>
                <w:lang w:val="en-US" w:eastAsia="zh-CN"/>
              </w:rPr>
              <w:t>签名</w:t>
            </w:r>
            <w:r>
              <w:rPr>
                <w:rFonts w:hint="eastAsia" w:ascii="宋体" w:hAnsi="宋体" w:eastAsia="宋体" w:cs="宋体"/>
                <w:b w:val="0"/>
                <w:bCs w:val="0"/>
                <w:i w:val="0"/>
                <w:caps w:val="0"/>
                <w:color w:val="auto"/>
                <w:spacing w:val="0"/>
                <w:sz w:val="24"/>
                <w:szCs w:val="24"/>
                <w:highlight w:val="none"/>
                <w:shd w:val="clear" w:color="auto" w:fill="FFFFFF"/>
                <w:lang w:val="en-US" w:eastAsia="zh-CN"/>
              </w:rPr>
              <w:t>报告。</w:t>
            </w:r>
          </w:p>
        </w:tc>
        <w:tc>
          <w:tcPr>
            <w:tcW w:w="800" w:type="dxa"/>
          </w:tcPr>
          <w:p w14:paraId="4F0DD2ED">
            <w:pPr>
              <w:jc w:val="left"/>
              <w:rPr>
                <w:rFonts w:ascii="宋体" w:hAnsi="宋体" w:eastAsia="宋体"/>
                <w:color w:val="auto"/>
                <w:szCs w:val="21"/>
              </w:rPr>
            </w:pPr>
          </w:p>
        </w:tc>
      </w:tr>
      <w:tr w14:paraId="2CC8F5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8" w:hRule="atLeast"/>
          <w:jc w:val="center"/>
        </w:trPr>
        <w:tc>
          <w:tcPr>
            <w:tcW w:w="830" w:type="dxa"/>
            <w:vAlign w:val="center"/>
          </w:tcPr>
          <w:p w14:paraId="4050D386">
            <w:pPr>
              <w:jc w:val="center"/>
              <w:rPr>
                <w:rFonts w:hint="default" w:ascii="宋体" w:hAnsi="宋体" w:eastAsia="宋体"/>
                <w:color w:val="auto"/>
                <w:szCs w:val="21"/>
                <w:lang w:val="en-US" w:eastAsia="zh-CN"/>
              </w:rPr>
            </w:pPr>
            <w:r>
              <w:rPr>
                <w:rFonts w:hint="eastAsia" w:ascii="宋体" w:hAnsi="宋体" w:eastAsia="宋体"/>
                <w:color w:val="auto"/>
                <w:szCs w:val="21"/>
                <w:lang w:val="en-US" w:eastAsia="zh-CN"/>
              </w:rPr>
              <w:t>17</w:t>
            </w:r>
          </w:p>
        </w:tc>
        <w:tc>
          <w:tcPr>
            <w:tcW w:w="7462" w:type="dxa"/>
          </w:tcPr>
          <w:p w14:paraId="764734AF">
            <w:pPr>
              <w:jc w:val="left"/>
              <w:rPr>
                <w:rFonts w:hint="default" w:ascii="宋体" w:hAnsi="宋体" w:eastAsia="宋体"/>
                <w:color w:val="auto"/>
                <w:sz w:val="24"/>
                <w:szCs w:val="24"/>
                <w:lang w:val="en-US" w:eastAsia="zh-CN"/>
              </w:rPr>
            </w:pPr>
            <w:r>
              <w:rPr>
                <w:rFonts w:hint="eastAsia" w:cs="宋体"/>
                <w:b w:val="0"/>
                <w:bCs w:val="0"/>
                <w:i w:val="0"/>
                <w:caps w:val="0"/>
                <w:color w:val="auto"/>
                <w:spacing w:val="0"/>
                <w:sz w:val="24"/>
                <w:szCs w:val="24"/>
                <w:highlight w:val="none"/>
                <w:shd w:val="clear" w:color="auto" w:fill="FFFFFF"/>
                <w:lang w:val="en-US" w:eastAsia="zh-CN"/>
              </w:rPr>
              <w:t>可实现老年人</w:t>
            </w:r>
            <w:r>
              <w:rPr>
                <w:rFonts w:hint="eastAsia" w:ascii="宋体" w:hAnsi="宋体" w:eastAsia="宋体" w:cs="宋体"/>
                <w:b w:val="0"/>
                <w:bCs w:val="0"/>
                <w:i w:val="0"/>
                <w:caps w:val="0"/>
                <w:color w:val="auto"/>
                <w:spacing w:val="0"/>
                <w:sz w:val="24"/>
                <w:szCs w:val="24"/>
                <w:highlight w:val="none"/>
                <w:shd w:val="clear" w:color="auto" w:fill="FFFFFF"/>
                <w:lang w:val="en-US" w:eastAsia="zh-CN"/>
              </w:rPr>
              <w:t>分色提醒</w:t>
            </w:r>
            <w:r>
              <w:rPr>
                <w:rFonts w:hint="eastAsia" w:cs="宋体"/>
                <w:b w:val="0"/>
                <w:bCs w:val="0"/>
                <w:i w:val="0"/>
                <w:caps w:val="0"/>
                <w:color w:val="auto"/>
                <w:spacing w:val="0"/>
                <w:sz w:val="24"/>
                <w:szCs w:val="24"/>
                <w:highlight w:val="none"/>
                <w:shd w:val="clear" w:color="auto" w:fill="FFFFFF"/>
                <w:lang w:val="en-US" w:eastAsia="zh-CN"/>
              </w:rPr>
              <w:t>功能，根据颜色分类提醒家庭医生开展相应工作。</w:t>
            </w:r>
          </w:p>
        </w:tc>
        <w:tc>
          <w:tcPr>
            <w:tcW w:w="800" w:type="dxa"/>
          </w:tcPr>
          <w:p w14:paraId="4513F32C">
            <w:pPr>
              <w:jc w:val="left"/>
              <w:rPr>
                <w:rFonts w:ascii="宋体" w:hAnsi="宋体" w:eastAsia="宋体"/>
                <w:color w:val="auto"/>
                <w:szCs w:val="21"/>
              </w:rPr>
            </w:pPr>
          </w:p>
        </w:tc>
      </w:tr>
      <w:tr w14:paraId="31C75A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8" w:hRule="atLeast"/>
          <w:jc w:val="center"/>
        </w:trPr>
        <w:tc>
          <w:tcPr>
            <w:tcW w:w="830" w:type="dxa"/>
            <w:vAlign w:val="center"/>
          </w:tcPr>
          <w:p w14:paraId="7678F732">
            <w:pPr>
              <w:jc w:val="center"/>
              <w:rPr>
                <w:rFonts w:hint="default" w:ascii="宋体" w:hAnsi="宋体" w:eastAsia="宋体"/>
                <w:color w:val="auto"/>
                <w:szCs w:val="21"/>
                <w:lang w:val="en-US" w:eastAsia="zh-CN"/>
              </w:rPr>
            </w:pPr>
            <w:r>
              <w:rPr>
                <w:rFonts w:hint="eastAsia" w:ascii="宋体" w:hAnsi="宋体" w:eastAsia="宋体"/>
                <w:color w:val="auto"/>
                <w:szCs w:val="21"/>
                <w:lang w:val="en-US" w:eastAsia="zh-CN"/>
              </w:rPr>
              <w:t>18</w:t>
            </w:r>
          </w:p>
        </w:tc>
        <w:tc>
          <w:tcPr>
            <w:tcW w:w="7462" w:type="dxa"/>
          </w:tcPr>
          <w:p w14:paraId="4BC2CA08">
            <w:pPr>
              <w:jc w:val="left"/>
              <w:rPr>
                <w:rFonts w:hint="default" w:ascii="宋体" w:hAnsi="宋体" w:eastAsia="宋体"/>
                <w:color w:val="auto"/>
                <w:sz w:val="24"/>
                <w:szCs w:val="24"/>
                <w:lang w:val="en-US" w:eastAsia="zh-CN"/>
              </w:rPr>
            </w:pPr>
            <w:r>
              <w:rPr>
                <w:rFonts w:hint="eastAsia" w:cs="宋体"/>
                <w:b w:val="0"/>
                <w:bCs w:val="0"/>
                <w:i w:val="0"/>
                <w:caps w:val="0"/>
                <w:color w:val="auto"/>
                <w:spacing w:val="0"/>
                <w:sz w:val="24"/>
                <w:szCs w:val="24"/>
                <w:highlight w:val="none"/>
                <w:shd w:val="clear" w:color="auto" w:fill="FFFFFF"/>
                <w:lang w:val="en-US" w:eastAsia="zh-CN"/>
              </w:rPr>
              <w:t>可实现慢性病人群标识提醒功能，根据人群类别提醒老年人开展相应工作。</w:t>
            </w:r>
          </w:p>
        </w:tc>
        <w:tc>
          <w:tcPr>
            <w:tcW w:w="800" w:type="dxa"/>
          </w:tcPr>
          <w:p w14:paraId="48BEB22F">
            <w:pPr>
              <w:jc w:val="left"/>
              <w:rPr>
                <w:rFonts w:ascii="宋体" w:hAnsi="宋体" w:eastAsia="宋体"/>
                <w:color w:val="auto"/>
                <w:szCs w:val="21"/>
              </w:rPr>
            </w:pPr>
          </w:p>
        </w:tc>
      </w:tr>
      <w:tr w14:paraId="533827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8" w:hRule="atLeast"/>
          <w:jc w:val="center"/>
        </w:trPr>
        <w:tc>
          <w:tcPr>
            <w:tcW w:w="830" w:type="dxa"/>
            <w:vAlign w:val="center"/>
          </w:tcPr>
          <w:p w14:paraId="53B30322">
            <w:pPr>
              <w:jc w:val="center"/>
              <w:rPr>
                <w:rFonts w:hint="default" w:ascii="宋体" w:hAnsi="宋体" w:eastAsia="宋体"/>
                <w:color w:val="auto"/>
                <w:szCs w:val="21"/>
                <w:lang w:val="en-US" w:eastAsia="zh-CN"/>
              </w:rPr>
            </w:pPr>
            <w:r>
              <w:rPr>
                <w:rFonts w:hint="eastAsia" w:ascii="宋体" w:hAnsi="宋体" w:eastAsia="宋体"/>
                <w:color w:val="auto"/>
                <w:szCs w:val="21"/>
                <w:lang w:val="en-US" w:eastAsia="zh-CN"/>
              </w:rPr>
              <w:t>19</w:t>
            </w:r>
          </w:p>
        </w:tc>
        <w:tc>
          <w:tcPr>
            <w:tcW w:w="7462" w:type="dxa"/>
          </w:tcPr>
          <w:p w14:paraId="18762CB9">
            <w:pPr>
              <w:jc w:val="left"/>
              <w:rPr>
                <w:rFonts w:hint="eastAsia" w:cs="宋体"/>
                <w:b w:val="0"/>
                <w:bCs w:val="0"/>
                <w:i w:val="0"/>
                <w:caps w:val="0"/>
                <w:color w:val="auto"/>
                <w:spacing w:val="0"/>
                <w:sz w:val="24"/>
                <w:szCs w:val="24"/>
                <w:highlight w:val="none"/>
                <w:shd w:val="clear" w:color="auto" w:fill="FFFFFF"/>
                <w:lang w:val="en-US" w:eastAsia="zh-CN"/>
              </w:rPr>
            </w:pPr>
            <w:r>
              <w:rPr>
                <w:rFonts w:hint="eastAsia" w:cs="宋体"/>
                <w:b w:val="0"/>
                <w:bCs w:val="0"/>
                <w:i w:val="0"/>
                <w:caps w:val="0"/>
                <w:color w:val="auto"/>
                <w:spacing w:val="0"/>
                <w:sz w:val="24"/>
                <w:szCs w:val="24"/>
                <w:highlight w:val="none"/>
                <w:shd w:val="clear" w:color="auto" w:fill="FFFFFF"/>
                <w:lang w:val="en-US" w:eastAsia="zh-CN"/>
              </w:rPr>
              <w:t>通过该系统查询并导出健康检查数据，并能对常见病、高发病及其他特殊人群（包括高血压、糖尿病、慢阻肺）进行统计，可协助医院开展慢病随访工作。</w:t>
            </w:r>
          </w:p>
        </w:tc>
        <w:tc>
          <w:tcPr>
            <w:tcW w:w="800" w:type="dxa"/>
          </w:tcPr>
          <w:p w14:paraId="7EAAB493">
            <w:pPr>
              <w:jc w:val="left"/>
              <w:rPr>
                <w:rFonts w:ascii="宋体" w:hAnsi="宋体" w:eastAsia="宋体"/>
                <w:color w:val="auto"/>
                <w:szCs w:val="21"/>
              </w:rPr>
            </w:pPr>
          </w:p>
        </w:tc>
      </w:tr>
    </w:tbl>
    <w:p w14:paraId="5AEED12F">
      <w:pPr>
        <w:numPr>
          <w:ilvl w:val="0"/>
          <w:numId w:val="0"/>
        </w:numPr>
        <w:jc w:val="left"/>
        <w:rPr>
          <w:b/>
          <w:bCs/>
          <w:color w:val="auto"/>
          <w:sz w:val="24"/>
          <w:szCs w:val="24"/>
          <w:highlight w:val="none"/>
        </w:rPr>
      </w:pPr>
    </w:p>
    <w:p w14:paraId="50124C96">
      <w:pPr>
        <w:pStyle w:val="4"/>
        <w:ind w:left="0" w:leftChars="0" w:firstLine="0" w:firstLineChars="0"/>
        <w:rPr>
          <w:color w:val="auto"/>
          <w:sz w:val="24"/>
          <w:szCs w:val="24"/>
        </w:rPr>
      </w:pPr>
      <w:r>
        <w:rPr>
          <w:rFonts w:hint="eastAsia"/>
          <w:b w:val="0"/>
          <w:color w:val="auto"/>
          <w:sz w:val="24"/>
          <w:szCs w:val="24"/>
          <w:lang w:eastAsia="zh-CN"/>
        </w:rPr>
        <w:t>（</w:t>
      </w:r>
      <w:r>
        <w:rPr>
          <w:rFonts w:hint="eastAsia"/>
          <w:b w:val="0"/>
          <w:color w:val="auto"/>
          <w:sz w:val="24"/>
          <w:szCs w:val="24"/>
          <w:lang w:val="en-US" w:eastAsia="zh-CN"/>
        </w:rPr>
        <w:t>二</w:t>
      </w:r>
      <w:r>
        <w:rPr>
          <w:rFonts w:hint="eastAsia"/>
          <w:b w:val="0"/>
          <w:color w:val="auto"/>
          <w:sz w:val="24"/>
          <w:szCs w:val="24"/>
          <w:lang w:eastAsia="zh-CN"/>
        </w:rPr>
        <w:t>）</w:t>
      </w:r>
      <w:r>
        <w:rPr>
          <w:b w:val="0"/>
          <w:color w:val="auto"/>
          <w:sz w:val="24"/>
          <w:szCs w:val="24"/>
        </w:rPr>
        <w:t>配置清单如下：</w:t>
      </w:r>
    </w:p>
    <w:tbl>
      <w:tblPr>
        <w:tblStyle w:val="8"/>
        <w:tblW w:w="92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8"/>
        <w:gridCol w:w="766"/>
        <w:gridCol w:w="1805"/>
        <w:gridCol w:w="3567"/>
        <w:gridCol w:w="767"/>
        <w:gridCol w:w="700"/>
        <w:gridCol w:w="885"/>
      </w:tblGrid>
      <w:tr w14:paraId="46F19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 w:hRule="atLeast"/>
          <w:jc w:val="center"/>
        </w:trPr>
        <w:tc>
          <w:tcPr>
            <w:tcW w:w="768" w:type="dxa"/>
            <w:tcBorders>
              <w:tl2br w:val="nil"/>
              <w:tr2bl w:val="nil"/>
            </w:tcBorders>
            <w:shd w:val="clear" w:color="auto" w:fill="auto"/>
            <w:tcMar>
              <w:top w:w="15" w:type="dxa"/>
              <w:left w:w="15" w:type="dxa"/>
              <w:right w:w="15" w:type="dxa"/>
            </w:tcMar>
            <w:vAlign w:val="center"/>
          </w:tcPr>
          <w:p w14:paraId="3EE740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rPr>
              <w:t>编号</w:t>
            </w:r>
          </w:p>
        </w:tc>
        <w:tc>
          <w:tcPr>
            <w:tcW w:w="766" w:type="dxa"/>
            <w:tcBorders>
              <w:tl2br w:val="nil"/>
              <w:tr2bl w:val="nil"/>
            </w:tcBorders>
            <w:shd w:val="clear" w:color="auto" w:fill="auto"/>
            <w:tcMar>
              <w:top w:w="15" w:type="dxa"/>
              <w:left w:w="15" w:type="dxa"/>
              <w:right w:w="15" w:type="dxa"/>
            </w:tcMar>
            <w:vAlign w:val="center"/>
          </w:tcPr>
          <w:p w14:paraId="2061F8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rPr>
              <w:t>类别</w:t>
            </w:r>
          </w:p>
        </w:tc>
        <w:tc>
          <w:tcPr>
            <w:tcW w:w="1805" w:type="dxa"/>
            <w:tcBorders>
              <w:tl2br w:val="nil"/>
              <w:tr2bl w:val="nil"/>
            </w:tcBorders>
            <w:shd w:val="clear" w:color="auto" w:fill="auto"/>
            <w:tcMar>
              <w:top w:w="15" w:type="dxa"/>
              <w:left w:w="15" w:type="dxa"/>
              <w:right w:w="15" w:type="dxa"/>
            </w:tcMar>
            <w:vAlign w:val="center"/>
          </w:tcPr>
          <w:p w14:paraId="7FB14A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rPr>
              <w:t>名称</w:t>
            </w:r>
          </w:p>
        </w:tc>
        <w:tc>
          <w:tcPr>
            <w:tcW w:w="3567" w:type="dxa"/>
            <w:tcBorders>
              <w:tl2br w:val="nil"/>
              <w:tr2bl w:val="nil"/>
            </w:tcBorders>
            <w:shd w:val="clear" w:color="auto" w:fill="auto"/>
            <w:tcMar>
              <w:top w:w="15" w:type="dxa"/>
              <w:left w:w="15" w:type="dxa"/>
              <w:right w:w="15" w:type="dxa"/>
            </w:tcMar>
            <w:vAlign w:val="center"/>
          </w:tcPr>
          <w:p w14:paraId="6F8A70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rPr>
              <w:t>简要说明</w:t>
            </w:r>
          </w:p>
        </w:tc>
        <w:tc>
          <w:tcPr>
            <w:tcW w:w="767" w:type="dxa"/>
            <w:tcBorders>
              <w:tl2br w:val="nil"/>
              <w:tr2bl w:val="nil"/>
            </w:tcBorders>
            <w:shd w:val="clear" w:color="auto" w:fill="auto"/>
            <w:tcMar>
              <w:top w:w="15" w:type="dxa"/>
              <w:left w:w="15" w:type="dxa"/>
              <w:right w:w="15" w:type="dxa"/>
            </w:tcMar>
            <w:vAlign w:val="center"/>
          </w:tcPr>
          <w:p w14:paraId="0B78B2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rPr>
              <w:t>单位</w:t>
            </w:r>
          </w:p>
        </w:tc>
        <w:tc>
          <w:tcPr>
            <w:tcW w:w="700" w:type="dxa"/>
            <w:tcBorders>
              <w:tl2br w:val="nil"/>
              <w:tr2bl w:val="nil"/>
            </w:tcBorders>
            <w:shd w:val="clear" w:color="auto" w:fill="auto"/>
            <w:tcMar>
              <w:top w:w="15" w:type="dxa"/>
              <w:left w:w="15" w:type="dxa"/>
              <w:right w:w="15" w:type="dxa"/>
            </w:tcMar>
            <w:vAlign w:val="center"/>
          </w:tcPr>
          <w:p w14:paraId="51DD9C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rPr>
              <w:t>数量</w:t>
            </w:r>
          </w:p>
        </w:tc>
        <w:tc>
          <w:tcPr>
            <w:tcW w:w="885" w:type="dxa"/>
            <w:tcBorders>
              <w:tl2br w:val="nil"/>
              <w:tr2bl w:val="nil"/>
            </w:tcBorders>
            <w:shd w:val="clear" w:color="auto" w:fill="auto"/>
            <w:tcMar>
              <w:top w:w="15" w:type="dxa"/>
              <w:left w:w="15" w:type="dxa"/>
              <w:right w:w="15" w:type="dxa"/>
            </w:tcMar>
            <w:vAlign w:val="center"/>
          </w:tcPr>
          <w:p w14:paraId="716A7F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rPr>
              <w:t>备注</w:t>
            </w:r>
          </w:p>
        </w:tc>
      </w:tr>
      <w:tr w14:paraId="0F915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jc w:val="center"/>
        </w:trPr>
        <w:tc>
          <w:tcPr>
            <w:tcW w:w="768" w:type="dxa"/>
            <w:vMerge w:val="restart"/>
            <w:tcBorders>
              <w:tl2br w:val="nil"/>
              <w:tr2bl w:val="nil"/>
            </w:tcBorders>
            <w:shd w:val="clear" w:color="auto" w:fill="auto"/>
            <w:tcMar>
              <w:top w:w="15" w:type="dxa"/>
              <w:left w:w="15" w:type="dxa"/>
              <w:right w:w="15" w:type="dxa"/>
            </w:tcMar>
            <w:vAlign w:val="center"/>
          </w:tcPr>
          <w:p w14:paraId="51E5AA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rPr>
              <w:t>1</w:t>
            </w:r>
          </w:p>
        </w:tc>
        <w:tc>
          <w:tcPr>
            <w:tcW w:w="766" w:type="dxa"/>
            <w:vMerge w:val="restart"/>
            <w:tcBorders>
              <w:tl2br w:val="nil"/>
              <w:tr2bl w:val="nil"/>
            </w:tcBorders>
            <w:shd w:val="clear" w:color="auto" w:fill="auto"/>
            <w:tcMar>
              <w:top w:w="15" w:type="dxa"/>
              <w:left w:w="15" w:type="dxa"/>
              <w:right w:w="15" w:type="dxa"/>
            </w:tcMar>
            <w:vAlign w:val="center"/>
          </w:tcPr>
          <w:p w14:paraId="762BE1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rPr>
              <w:t>软件</w:t>
            </w:r>
          </w:p>
        </w:tc>
        <w:tc>
          <w:tcPr>
            <w:tcW w:w="1805" w:type="dxa"/>
            <w:tcBorders>
              <w:tl2br w:val="nil"/>
              <w:tr2bl w:val="nil"/>
            </w:tcBorders>
            <w:shd w:val="clear" w:color="auto" w:fill="auto"/>
            <w:tcMar>
              <w:top w:w="15" w:type="dxa"/>
              <w:left w:w="15" w:type="dxa"/>
              <w:right w:w="15" w:type="dxa"/>
            </w:tcMar>
            <w:vAlign w:val="center"/>
          </w:tcPr>
          <w:p w14:paraId="140BD76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公卫重点人群智能管理系统</w:t>
            </w:r>
          </w:p>
        </w:tc>
        <w:tc>
          <w:tcPr>
            <w:tcW w:w="3567" w:type="dxa"/>
            <w:tcBorders>
              <w:tl2br w:val="nil"/>
              <w:tr2bl w:val="nil"/>
            </w:tcBorders>
            <w:shd w:val="clear" w:color="auto" w:fill="auto"/>
            <w:tcMar>
              <w:top w:w="15" w:type="dxa"/>
              <w:left w:w="15" w:type="dxa"/>
              <w:right w:w="15" w:type="dxa"/>
            </w:tcMar>
            <w:vAlign w:val="center"/>
          </w:tcPr>
          <w:p w14:paraId="68789AB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Theme="minorEastAsia" w:hAnsiTheme="minorEastAsia" w:cstheme="minorEastAsia"/>
                <w:color w:val="FF0000"/>
                <w:kern w:val="2"/>
                <w:sz w:val="24"/>
                <w:szCs w:val="24"/>
                <w:lang w:val="en-US" w:eastAsia="zh-CN" w:bidi="ar-SA"/>
              </w:rPr>
            </w:pPr>
            <w:r>
              <w:rPr>
                <w:rFonts w:hint="eastAsia" w:asciiTheme="minorEastAsia" w:hAnsiTheme="minorEastAsia" w:cstheme="minorEastAsia"/>
                <w:color w:val="FF0000"/>
                <w:kern w:val="2"/>
                <w:sz w:val="24"/>
                <w:szCs w:val="24"/>
                <w:lang w:val="en-US" w:eastAsia="zh-CN" w:bidi="ar-SA"/>
              </w:rPr>
              <w:t>取得第三级网络安全等级保护</w:t>
            </w:r>
          </w:p>
          <w:p w14:paraId="703E095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cstheme="minorEastAsia"/>
                <w:color w:val="FF0000"/>
                <w:kern w:val="2"/>
                <w:sz w:val="24"/>
                <w:szCs w:val="24"/>
                <w:lang w:val="en-US" w:eastAsia="zh-CN" w:bidi="ar-SA"/>
              </w:rPr>
              <w:t>备案证明；该套公卫重点人群智能管理系统包含院内及院外相互匹配的两组智能管理系统，两组系统具备同样的软件系统功能，共同组合成一套公卫重点人群智能管理系统。</w:t>
            </w: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包含设备接口连接；数据采集、整合功能；可与</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四川省健康信息云平台对接</w:t>
            </w: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；集成打印体检报告，自动生成公卫体检档案；可提供健康评价及异常指导。</w:t>
            </w:r>
          </w:p>
        </w:tc>
        <w:tc>
          <w:tcPr>
            <w:tcW w:w="767" w:type="dxa"/>
            <w:tcBorders>
              <w:tl2br w:val="nil"/>
              <w:tr2bl w:val="nil"/>
            </w:tcBorders>
            <w:shd w:val="clear" w:color="auto" w:fill="auto"/>
            <w:tcMar>
              <w:top w:w="15" w:type="dxa"/>
              <w:left w:w="15" w:type="dxa"/>
              <w:right w:w="15" w:type="dxa"/>
            </w:tcMar>
            <w:vAlign w:val="center"/>
          </w:tcPr>
          <w:p w14:paraId="4BF2AE4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套</w:t>
            </w:r>
          </w:p>
        </w:tc>
        <w:tc>
          <w:tcPr>
            <w:tcW w:w="700" w:type="dxa"/>
            <w:tcBorders>
              <w:tl2br w:val="nil"/>
              <w:tr2bl w:val="nil"/>
            </w:tcBorders>
            <w:shd w:val="clear" w:color="auto" w:fill="auto"/>
            <w:tcMar>
              <w:top w:w="15" w:type="dxa"/>
              <w:left w:w="15" w:type="dxa"/>
              <w:right w:w="15" w:type="dxa"/>
            </w:tcMar>
            <w:vAlign w:val="center"/>
          </w:tcPr>
          <w:p w14:paraId="0583B71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1</w:t>
            </w:r>
          </w:p>
        </w:tc>
        <w:tc>
          <w:tcPr>
            <w:tcW w:w="885" w:type="dxa"/>
            <w:vMerge w:val="restart"/>
            <w:tcBorders>
              <w:tl2br w:val="nil"/>
              <w:tr2bl w:val="nil"/>
            </w:tcBorders>
            <w:shd w:val="clear" w:color="auto" w:fill="auto"/>
            <w:tcMar>
              <w:top w:w="15" w:type="dxa"/>
              <w:left w:w="15" w:type="dxa"/>
              <w:right w:w="15" w:type="dxa"/>
            </w:tcMar>
            <w:vAlign w:val="center"/>
          </w:tcPr>
          <w:p w14:paraId="3844E6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center"/>
              <w:rPr>
                <w:rFonts w:hint="default" w:asciiTheme="minorEastAsia" w:hAnsiTheme="minorEastAsia" w:eastAsiaTheme="minorEastAsia" w:cstheme="minorEastAsia"/>
                <w:b w:val="0"/>
                <w:bCs w:val="0"/>
                <w:color w:val="auto"/>
                <w:sz w:val="21"/>
                <w:szCs w:val="21"/>
                <w:lang w:val="en-US" w:eastAsia="zh-CN"/>
              </w:rPr>
            </w:pPr>
          </w:p>
        </w:tc>
      </w:tr>
      <w:tr w14:paraId="1EA71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768" w:type="dxa"/>
            <w:vMerge w:val="continue"/>
            <w:tcBorders>
              <w:tl2br w:val="nil"/>
              <w:tr2bl w:val="nil"/>
            </w:tcBorders>
            <w:shd w:val="clear" w:color="auto" w:fill="auto"/>
            <w:tcMar>
              <w:top w:w="15" w:type="dxa"/>
              <w:left w:w="15" w:type="dxa"/>
              <w:right w:w="15" w:type="dxa"/>
            </w:tcMar>
            <w:vAlign w:val="center"/>
          </w:tcPr>
          <w:p w14:paraId="7E23CE3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heme="minorEastAsia" w:hAnsiTheme="minorEastAsia" w:eastAsiaTheme="minorEastAsia" w:cstheme="minorEastAsia"/>
                <w:b w:val="0"/>
                <w:bCs w:val="0"/>
                <w:color w:val="auto"/>
                <w:sz w:val="21"/>
                <w:szCs w:val="21"/>
              </w:rPr>
            </w:pPr>
          </w:p>
        </w:tc>
        <w:tc>
          <w:tcPr>
            <w:tcW w:w="766" w:type="dxa"/>
            <w:vMerge w:val="continue"/>
            <w:tcBorders>
              <w:tl2br w:val="nil"/>
              <w:tr2bl w:val="nil"/>
            </w:tcBorders>
            <w:shd w:val="clear" w:color="auto" w:fill="auto"/>
            <w:tcMar>
              <w:top w:w="15" w:type="dxa"/>
              <w:left w:w="15" w:type="dxa"/>
              <w:right w:w="15" w:type="dxa"/>
            </w:tcMar>
            <w:vAlign w:val="center"/>
          </w:tcPr>
          <w:p w14:paraId="66923B1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heme="minorEastAsia" w:hAnsiTheme="minorEastAsia" w:eastAsiaTheme="minorEastAsia" w:cstheme="minorEastAsia"/>
                <w:b w:val="0"/>
                <w:bCs w:val="0"/>
                <w:color w:val="auto"/>
                <w:sz w:val="21"/>
                <w:szCs w:val="21"/>
              </w:rPr>
            </w:pPr>
          </w:p>
        </w:tc>
        <w:tc>
          <w:tcPr>
            <w:tcW w:w="1805" w:type="dxa"/>
            <w:tcBorders>
              <w:tl2br w:val="nil"/>
              <w:tr2bl w:val="nil"/>
            </w:tcBorders>
            <w:shd w:val="clear" w:color="auto" w:fill="auto"/>
            <w:tcMar>
              <w:top w:w="15" w:type="dxa"/>
              <w:left w:w="15" w:type="dxa"/>
              <w:right w:w="15" w:type="dxa"/>
            </w:tcMar>
            <w:vAlign w:val="center"/>
          </w:tcPr>
          <w:p w14:paraId="1B52DD5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第三方检验接口系统技术</w:t>
            </w:r>
            <w:r>
              <w:rPr>
                <w:rFonts w:hint="eastAsia" w:asciiTheme="minorEastAsia" w:hAnsiTheme="minorEastAsia" w:cstheme="minorEastAsia"/>
                <w:color w:val="000000" w:themeColor="text1"/>
                <w:kern w:val="2"/>
                <w:sz w:val="24"/>
                <w:szCs w:val="24"/>
                <w:lang w:val="en-US" w:eastAsia="zh-CN" w:bidi="ar-SA"/>
                <w14:textFill>
                  <w14:solidFill>
                    <w14:schemeClr w14:val="tx1"/>
                  </w14:solidFill>
                </w14:textFill>
              </w:rPr>
              <w:t>接口</w:t>
            </w:r>
          </w:p>
        </w:tc>
        <w:tc>
          <w:tcPr>
            <w:tcW w:w="3567" w:type="dxa"/>
            <w:tcBorders>
              <w:tl2br w:val="nil"/>
              <w:tr2bl w:val="nil"/>
            </w:tcBorders>
            <w:shd w:val="clear" w:color="auto" w:fill="auto"/>
            <w:tcMar>
              <w:top w:w="15" w:type="dxa"/>
              <w:left w:w="15" w:type="dxa"/>
              <w:right w:w="15" w:type="dxa"/>
            </w:tcMar>
            <w:vAlign w:val="center"/>
          </w:tcPr>
          <w:p w14:paraId="10BB4DB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生化检验数据</w:t>
            </w: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系统连接、数据整合</w:t>
            </w:r>
          </w:p>
        </w:tc>
        <w:tc>
          <w:tcPr>
            <w:tcW w:w="767" w:type="dxa"/>
            <w:tcBorders>
              <w:tl2br w:val="nil"/>
              <w:tr2bl w:val="nil"/>
            </w:tcBorders>
            <w:shd w:val="clear" w:color="auto" w:fill="auto"/>
            <w:tcMar>
              <w:top w:w="15" w:type="dxa"/>
              <w:left w:w="15" w:type="dxa"/>
              <w:right w:w="15" w:type="dxa"/>
            </w:tcMar>
            <w:vAlign w:val="center"/>
          </w:tcPr>
          <w:p w14:paraId="5C9DD94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套</w:t>
            </w:r>
          </w:p>
        </w:tc>
        <w:tc>
          <w:tcPr>
            <w:tcW w:w="700" w:type="dxa"/>
            <w:tcBorders>
              <w:tl2br w:val="nil"/>
              <w:tr2bl w:val="nil"/>
            </w:tcBorders>
            <w:shd w:val="clear" w:color="auto" w:fill="auto"/>
            <w:tcMar>
              <w:top w:w="15" w:type="dxa"/>
              <w:left w:w="15" w:type="dxa"/>
              <w:right w:w="15" w:type="dxa"/>
            </w:tcMar>
            <w:vAlign w:val="center"/>
          </w:tcPr>
          <w:p w14:paraId="55A9F5D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1</w:t>
            </w:r>
          </w:p>
        </w:tc>
        <w:tc>
          <w:tcPr>
            <w:tcW w:w="885" w:type="dxa"/>
            <w:vMerge w:val="continue"/>
            <w:tcBorders>
              <w:tl2br w:val="nil"/>
              <w:tr2bl w:val="nil"/>
            </w:tcBorders>
            <w:shd w:val="clear" w:color="auto" w:fill="auto"/>
            <w:tcMar>
              <w:top w:w="15" w:type="dxa"/>
              <w:left w:w="15" w:type="dxa"/>
              <w:right w:w="15" w:type="dxa"/>
            </w:tcMar>
            <w:vAlign w:val="center"/>
          </w:tcPr>
          <w:p w14:paraId="695A685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heme="minorEastAsia" w:hAnsiTheme="minorEastAsia" w:eastAsiaTheme="minorEastAsia" w:cstheme="minorEastAsia"/>
                <w:b w:val="0"/>
                <w:bCs w:val="0"/>
                <w:color w:val="auto"/>
                <w:sz w:val="21"/>
                <w:szCs w:val="21"/>
              </w:rPr>
            </w:pPr>
          </w:p>
        </w:tc>
      </w:tr>
      <w:tr w14:paraId="4D131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768" w:type="dxa"/>
            <w:vMerge w:val="continue"/>
            <w:tcBorders>
              <w:tl2br w:val="nil"/>
              <w:tr2bl w:val="nil"/>
            </w:tcBorders>
            <w:shd w:val="clear" w:color="auto" w:fill="auto"/>
            <w:tcMar>
              <w:top w:w="15" w:type="dxa"/>
              <w:left w:w="15" w:type="dxa"/>
              <w:right w:w="15" w:type="dxa"/>
            </w:tcMar>
            <w:vAlign w:val="center"/>
          </w:tcPr>
          <w:p w14:paraId="2250753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heme="minorEastAsia" w:hAnsiTheme="minorEastAsia" w:eastAsiaTheme="minorEastAsia" w:cstheme="minorEastAsia"/>
                <w:b w:val="0"/>
                <w:bCs w:val="0"/>
                <w:color w:val="auto"/>
                <w:sz w:val="21"/>
                <w:szCs w:val="21"/>
              </w:rPr>
            </w:pPr>
          </w:p>
        </w:tc>
        <w:tc>
          <w:tcPr>
            <w:tcW w:w="766" w:type="dxa"/>
            <w:vMerge w:val="continue"/>
            <w:tcBorders>
              <w:tl2br w:val="nil"/>
              <w:tr2bl w:val="nil"/>
            </w:tcBorders>
            <w:shd w:val="clear" w:color="auto" w:fill="auto"/>
            <w:tcMar>
              <w:top w:w="15" w:type="dxa"/>
              <w:left w:w="15" w:type="dxa"/>
              <w:right w:w="15" w:type="dxa"/>
            </w:tcMar>
            <w:vAlign w:val="center"/>
          </w:tcPr>
          <w:p w14:paraId="6BCF9F2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heme="minorEastAsia" w:hAnsiTheme="minorEastAsia" w:eastAsiaTheme="minorEastAsia" w:cstheme="minorEastAsia"/>
                <w:b w:val="0"/>
                <w:bCs w:val="0"/>
                <w:color w:val="auto"/>
                <w:sz w:val="21"/>
                <w:szCs w:val="21"/>
              </w:rPr>
            </w:pPr>
          </w:p>
        </w:tc>
        <w:tc>
          <w:tcPr>
            <w:tcW w:w="1805" w:type="dxa"/>
            <w:tcBorders>
              <w:tl2br w:val="nil"/>
              <w:tr2bl w:val="nil"/>
            </w:tcBorders>
            <w:shd w:val="clear" w:color="auto" w:fill="auto"/>
            <w:tcMar>
              <w:top w:w="15" w:type="dxa"/>
              <w:left w:w="15" w:type="dxa"/>
              <w:right w:w="15" w:type="dxa"/>
            </w:tcMar>
            <w:vAlign w:val="center"/>
          </w:tcPr>
          <w:p w14:paraId="7097DD8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血液分析仪数据系统</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技术接口</w:t>
            </w:r>
          </w:p>
        </w:tc>
        <w:tc>
          <w:tcPr>
            <w:tcW w:w="3567" w:type="dxa"/>
            <w:tcBorders>
              <w:tl2br w:val="nil"/>
              <w:tr2bl w:val="nil"/>
            </w:tcBorders>
            <w:shd w:val="clear" w:color="auto" w:fill="auto"/>
            <w:tcMar>
              <w:top w:w="15" w:type="dxa"/>
              <w:left w:w="15" w:type="dxa"/>
              <w:right w:w="15" w:type="dxa"/>
            </w:tcMar>
            <w:vAlign w:val="center"/>
          </w:tcPr>
          <w:p w14:paraId="2950F79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血液分析仪系统连接、数据整合</w:t>
            </w:r>
          </w:p>
        </w:tc>
        <w:tc>
          <w:tcPr>
            <w:tcW w:w="767" w:type="dxa"/>
            <w:tcBorders>
              <w:tl2br w:val="nil"/>
              <w:tr2bl w:val="nil"/>
            </w:tcBorders>
            <w:shd w:val="clear" w:color="auto" w:fill="auto"/>
            <w:tcMar>
              <w:top w:w="15" w:type="dxa"/>
              <w:left w:w="15" w:type="dxa"/>
              <w:right w:w="15" w:type="dxa"/>
            </w:tcMar>
            <w:vAlign w:val="center"/>
          </w:tcPr>
          <w:p w14:paraId="3C018A9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套</w:t>
            </w:r>
          </w:p>
        </w:tc>
        <w:tc>
          <w:tcPr>
            <w:tcW w:w="700" w:type="dxa"/>
            <w:tcBorders>
              <w:tl2br w:val="nil"/>
              <w:tr2bl w:val="nil"/>
            </w:tcBorders>
            <w:shd w:val="clear" w:color="auto" w:fill="auto"/>
            <w:tcMar>
              <w:top w:w="15" w:type="dxa"/>
              <w:left w:w="15" w:type="dxa"/>
              <w:right w:w="15" w:type="dxa"/>
            </w:tcMar>
            <w:vAlign w:val="center"/>
          </w:tcPr>
          <w:p w14:paraId="77C403B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1</w:t>
            </w:r>
          </w:p>
        </w:tc>
        <w:tc>
          <w:tcPr>
            <w:tcW w:w="885" w:type="dxa"/>
            <w:vMerge w:val="continue"/>
            <w:tcBorders>
              <w:tl2br w:val="nil"/>
              <w:tr2bl w:val="nil"/>
            </w:tcBorders>
            <w:shd w:val="clear" w:color="auto" w:fill="auto"/>
            <w:tcMar>
              <w:top w:w="15" w:type="dxa"/>
              <w:left w:w="15" w:type="dxa"/>
              <w:right w:w="15" w:type="dxa"/>
            </w:tcMar>
            <w:vAlign w:val="center"/>
          </w:tcPr>
          <w:p w14:paraId="211CF6A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heme="minorEastAsia" w:hAnsiTheme="minorEastAsia" w:eastAsiaTheme="minorEastAsia" w:cstheme="minorEastAsia"/>
                <w:b w:val="0"/>
                <w:bCs w:val="0"/>
                <w:color w:val="auto"/>
                <w:sz w:val="21"/>
                <w:szCs w:val="21"/>
              </w:rPr>
            </w:pPr>
          </w:p>
        </w:tc>
      </w:tr>
      <w:tr w14:paraId="467DB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768" w:type="dxa"/>
            <w:vMerge w:val="continue"/>
            <w:tcBorders>
              <w:tl2br w:val="nil"/>
              <w:tr2bl w:val="nil"/>
            </w:tcBorders>
            <w:shd w:val="clear" w:color="auto" w:fill="auto"/>
            <w:tcMar>
              <w:top w:w="15" w:type="dxa"/>
              <w:left w:w="15" w:type="dxa"/>
              <w:right w:w="15" w:type="dxa"/>
            </w:tcMar>
            <w:vAlign w:val="center"/>
          </w:tcPr>
          <w:p w14:paraId="122C250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heme="minorEastAsia" w:hAnsiTheme="minorEastAsia" w:eastAsiaTheme="minorEastAsia" w:cstheme="minorEastAsia"/>
                <w:b w:val="0"/>
                <w:bCs w:val="0"/>
                <w:color w:val="auto"/>
                <w:sz w:val="21"/>
                <w:szCs w:val="21"/>
              </w:rPr>
            </w:pPr>
          </w:p>
        </w:tc>
        <w:tc>
          <w:tcPr>
            <w:tcW w:w="766" w:type="dxa"/>
            <w:vMerge w:val="continue"/>
            <w:tcBorders>
              <w:tl2br w:val="nil"/>
              <w:tr2bl w:val="nil"/>
            </w:tcBorders>
            <w:shd w:val="clear" w:color="auto" w:fill="auto"/>
            <w:tcMar>
              <w:top w:w="15" w:type="dxa"/>
              <w:left w:w="15" w:type="dxa"/>
              <w:right w:w="15" w:type="dxa"/>
            </w:tcMar>
            <w:vAlign w:val="center"/>
          </w:tcPr>
          <w:p w14:paraId="1575D25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heme="minorEastAsia" w:hAnsiTheme="minorEastAsia" w:eastAsiaTheme="minorEastAsia" w:cstheme="minorEastAsia"/>
                <w:b w:val="0"/>
                <w:bCs w:val="0"/>
                <w:color w:val="auto"/>
                <w:sz w:val="21"/>
                <w:szCs w:val="21"/>
              </w:rPr>
            </w:pPr>
          </w:p>
        </w:tc>
        <w:tc>
          <w:tcPr>
            <w:tcW w:w="1805" w:type="dxa"/>
            <w:tcBorders>
              <w:tl2br w:val="nil"/>
              <w:tr2bl w:val="nil"/>
            </w:tcBorders>
            <w:shd w:val="clear" w:color="auto" w:fill="auto"/>
            <w:tcMar>
              <w:top w:w="15" w:type="dxa"/>
              <w:left w:w="15" w:type="dxa"/>
              <w:right w:w="15" w:type="dxa"/>
            </w:tcMar>
            <w:vAlign w:val="center"/>
          </w:tcPr>
          <w:p w14:paraId="58CAC2B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尿液分析仪数据系统</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技术接口</w:t>
            </w:r>
          </w:p>
        </w:tc>
        <w:tc>
          <w:tcPr>
            <w:tcW w:w="3567" w:type="dxa"/>
            <w:tcBorders>
              <w:tl2br w:val="nil"/>
              <w:tr2bl w:val="nil"/>
            </w:tcBorders>
            <w:shd w:val="clear" w:color="auto" w:fill="auto"/>
            <w:tcMar>
              <w:top w:w="15" w:type="dxa"/>
              <w:left w:w="15" w:type="dxa"/>
              <w:right w:w="15" w:type="dxa"/>
            </w:tcMar>
            <w:vAlign w:val="center"/>
          </w:tcPr>
          <w:p w14:paraId="25223CF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尿液分析仪系统连接、数据整合</w:t>
            </w:r>
          </w:p>
        </w:tc>
        <w:tc>
          <w:tcPr>
            <w:tcW w:w="767" w:type="dxa"/>
            <w:tcBorders>
              <w:tl2br w:val="nil"/>
              <w:tr2bl w:val="nil"/>
            </w:tcBorders>
            <w:shd w:val="clear" w:color="auto" w:fill="auto"/>
            <w:tcMar>
              <w:top w:w="15" w:type="dxa"/>
              <w:left w:w="15" w:type="dxa"/>
              <w:right w:w="15" w:type="dxa"/>
            </w:tcMar>
            <w:vAlign w:val="center"/>
          </w:tcPr>
          <w:p w14:paraId="17FAE45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套</w:t>
            </w:r>
          </w:p>
        </w:tc>
        <w:tc>
          <w:tcPr>
            <w:tcW w:w="700" w:type="dxa"/>
            <w:tcBorders>
              <w:tl2br w:val="nil"/>
              <w:tr2bl w:val="nil"/>
            </w:tcBorders>
            <w:shd w:val="clear" w:color="auto" w:fill="auto"/>
            <w:tcMar>
              <w:top w:w="15" w:type="dxa"/>
              <w:left w:w="15" w:type="dxa"/>
              <w:right w:w="15" w:type="dxa"/>
            </w:tcMar>
            <w:vAlign w:val="center"/>
          </w:tcPr>
          <w:p w14:paraId="4B03951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1</w:t>
            </w:r>
          </w:p>
        </w:tc>
        <w:tc>
          <w:tcPr>
            <w:tcW w:w="885" w:type="dxa"/>
            <w:vMerge w:val="continue"/>
            <w:tcBorders>
              <w:tl2br w:val="nil"/>
              <w:tr2bl w:val="nil"/>
            </w:tcBorders>
            <w:shd w:val="clear" w:color="auto" w:fill="auto"/>
            <w:tcMar>
              <w:top w:w="15" w:type="dxa"/>
              <w:left w:w="15" w:type="dxa"/>
              <w:right w:w="15" w:type="dxa"/>
            </w:tcMar>
            <w:vAlign w:val="center"/>
          </w:tcPr>
          <w:p w14:paraId="3BA1C18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heme="minorEastAsia" w:hAnsiTheme="minorEastAsia" w:eastAsiaTheme="minorEastAsia" w:cstheme="minorEastAsia"/>
                <w:b w:val="0"/>
                <w:bCs w:val="0"/>
                <w:color w:val="auto"/>
                <w:sz w:val="21"/>
                <w:szCs w:val="21"/>
              </w:rPr>
            </w:pPr>
          </w:p>
        </w:tc>
      </w:tr>
      <w:tr w14:paraId="567B4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768" w:type="dxa"/>
            <w:vMerge w:val="continue"/>
            <w:tcBorders>
              <w:tl2br w:val="nil"/>
              <w:tr2bl w:val="nil"/>
            </w:tcBorders>
            <w:shd w:val="clear" w:color="auto" w:fill="auto"/>
            <w:tcMar>
              <w:top w:w="15" w:type="dxa"/>
              <w:left w:w="15" w:type="dxa"/>
              <w:right w:w="15" w:type="dxa"/>
            </w:tcMar>
            <w:vAlign w:val="center"/>
          </w:tcPr>
          <w:p w14:paraId="25A576C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heme="minorEastAsia" w:hAnsiTheme="minorEastAsia" w:eastAsiaTheme="minorEastAsia" w:cstheme="minorEastAsia"/>
                <w:b w:val="0"/>
                <w:bCs w:val="0"/>
                <w:color w:val="auto"/>
                <w:sz w:val="21"/>
                <w:szCs w:val="21"/>
              </w:rPr>
            </w:pPr>
          </w:p>
        </w:tc>
        <w:tc>
          <w:tcPr>
            <w:tcW w:w="766" w:type="dxa"/>
            <w:vMerge w:val="continue"/>
            <w:tcBorders>
              <w:tl2br w:val="nil"/>
              <w:tr2bl w:val="nil"/>
            </w:tcBorders>
            <w:shd w:val="clear" w:color="auto" w:fill="auto"/>
            <w:tcMar>
              <w:top w:w="15" w:type="dxa"/>
              <w:left w:w="15" w:type="dxa"/>
              <w:right w:w="15" w:type="dxa"/>
            </w:tcMar>
            <w:vAlign w:val="center"/>
          </w:tcPr>
          <w:p w14:paraId="0C0580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heme="minorEastAsia" w:hAnsiTheme="minorEastAsia" w:eastAsiaTheme="minorEastAsia" w:cstheme="minorEastAsia"/>
                <w:b w:val="0"/>
                <w:bCs w:val="0"/>
                <w:color w:val="auto"/>
                <w:sz w:val="21"/>
                <w:szCs w:val="21"/>
              </w:rPr>
            </w:pPr>
          </w:p>
        </w:tc>
        <w:tc>
          <w:tcPr>
            <w:tcW w:w="1805" w:type="dxa"/>
            <w:tcBorders>
              <w:tl2br w:val="nil"/>
              <w:tr2bl w:val="nil"/>
            </w:tcBorders>
            <w:shd w:val="clear" w:color="auto" w:fill="auto"/>
            <w:tcMar>
              <w:top w:w="15" w:type="dxa"/>
              <w:left w:w="15" w:type="dxa"/>
              <w:right w:w="15" w:type="dxa"/>
            </w:tcMar>
            <w:vAlign w:val="center"/>
          </w:tcPr>
          <w:p w14:paraId="6A4E9EB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心电工作站数据系统</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技术接口</w:t>
            </w:r>
          </w:p>
        </w:tc>
        <w:tc>
          <w:tcPr>
            <w:tcW w:w="3567" w:type="dxa"/>
            <w:tcBorders>
              <w:tl2br w:val="nil"/>
              <w:tr2bl w:val="nil"/>
            </w:tcBorders>
            <w:shd w:val="clear" w:color="auto" w:fill="auto"/>
            <w:tcMar>
              <w:top w:w="15" w:type="dxa"/>
              <w:left w:w="15" w:type="dxa"/>
              <w:right w:w="15" w:type="dxa"/>
            </w:tcMar>
            <w:vAlign w:val="center"/>
          </w:tcPr>
          <w:p w14:paraId="2AE75E1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心电工作站系统数据采集、数据整合</w:t>
            </w:r>
            <w:r>
              <w:rPr>
                <w:rFonts w:hint="eastAsia" w:asciiTheme="minorEastAsia" w:hAnsiTheme="minorEastAsia" w:cstheme="minorEastAsia"/>
                <w:color w:val="000000" w:themeColor="text1"/>
                <w:kern w:val="2"/>
                <w:sz w:val="24"/>
                <w:szCs w:val="24"/>
                <w:lang w:val="zh-CN" w:eastAsia="zh-CN" w:bidi="ar-SA"/>
                <w14:textFill>
                  <w14:solidFill>
                    <w14:schemeClr w14:val="tx1"/>
                  </w14:solidFill>
                </w14:textFill>
              </w:rPr>
              <w:t>、</w:t>
            </w:r>
            <w:r>
              <w:rPr>
                <w:rFonts w:hint="eastAsia" w:asciiTheme="minorEastAsia" w:hAnsiTheme="minorEastAsia" w:cstheme="minorEastAsia"/>
                <w:color w:val="000000" w:themeColor="text1"/>
                <w:kern w:val="2"/>
                <w:sz w:val="24"/>
                <w:szCs w:val="24"/>
                <w:lang w:val="en-US" w:eastAsia="zh-CN" w:bidi="ar-SA"/>
                <w14:textFill>
                  <w14:solidFill>
                    <w14:schemeClr w14:val="tx1"/>
                  </w14:solidFill>
                </w14:textFill>
              </w:rPr>
              <w:t>自动判读</w:t>
            </w:r>
          </w:p>
        </w:tc>
        <w:tc>
          <w:tcPr>
            <w:tcW w:w="767" w:type="dxa"/>
            <w:tcBorders>
              <w:tl2br w:val="nil"/>
              <w:tr2bl w:val="nil"/>
            </w:tcBorders>
            <w:shd w:val="clear" w:color="auto" w:fill="auto"/>
            <w:tcMar>
              <w:top w:w="15" w:type="dxa"/>
              <w:left w:w="15" w:type="dxa"/>
              <w:right w:w="15" w:type="dxa"/>
            </w:tcMar>
            <w:vAlign w:val="center"/>
          </w:tcPr>
          <w:p w14:paraId="4C15B06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套</w:t>
            </w:r>
          </w:p>
        </w:tc>
        <w:tc>
          <w:tcPr>
            <w:tcW w:w="700" w:type="dxa"/>
            <w:tcBorders>
              <w:tl2br w:val="nil"/>
              <w:tr2bl w:val="nil"/>
            </w:tcBorders>
            <w:shd w:val="clear" w:color="auto" w:fill="auto"/>
            <w:tcMar>
              <w:top w:w="15" w:type="dxa"/>
              <w:left w:w="15" w:type="dxa"/>
              <w:right w:w="15" w:type="dxa"/>
            </w:tcMar>
            <w:vAlign w:val="center"/>
          </w:tcPr>
          <w:p w14:paraId="5B6E356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1</w:t>
            </w:r>
          </w:p>
        </w:tc>
        <w:tc>
          <w:tcPr>
            <w:tcW w:w="885" w:type="dxa"/>
            <w:vMerge w:val="continue"/>
            <w:tcBorders>
              <w:tl2br w:val="nil"/>
              <w:tr2bl w:val="nil"/>
            </w:tcBorders>
            <w:shd w:val="clear" w:color="auto" w:fill="auto"/>
            <w:tcMar>
              <w:top w:w="15" w:type="dxa"/>
              <w:left w:w="15" w:type="dxa"/>
              <w:right w:w="15" w:type="dxa"/>
            </w:tcMar>
            <w:vAlign w:val="center"/>
          </w:tcPr>
          <w:p w14:paraId="1751165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heme="minorEastAsia" w:hAnsiTheme="minorEastAsia" w:eastAsiaTheme="minorEastAsia" w:cstheme="minorEastAsia"/>
                <w:b w:val="0"/>
                <w:bCs w:val="0"/>
                <w:color w:val="auto"/>
                <w:sz w:val="21"/>
                <w:szCs w:val="21"/>
              </w:rPr>
            </w:pPr>
          </w:p>
        </w:tc>
      </w:tr>
      <w:tr w14:paraId="434B4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768" w:type="dxa"/>
            <w:vMerge w:val="continue"/>
            <w:tcBorders>
              <w:tl2br w:val="nil"/>
              <w:tr2bl w:val="nil"/>
            </w:tcBorders>
            <w:shd w:val="clear" w:color="auto" w:fill="auto"/>
            <w:tcMar>
              <w:top w:w="15" w:type="dxa"/>
              <w:left w:w="15" w:type="dxa"/>
              <w:right w:w="15" w:type="dxa"/>
            </w:tcMar>
            <w:vAlign w:val="center"/>
          </w:tcPr>
          <w:p w14:paraId="63DF4B5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heme="minorEastAsia" w:hAnsiTheme="minorEastAsia" w:eastAsiaTheme="minorEastAsia" w:cstheme="minorEastAsia"/>
                <w:b w:val="0"/>
                <w:bCs w:val="0"/>
                <w:color w:val="auto"/>
                <w:sz w:val="21"/>
                <w:szCs w:val="21"/>
              </w:rPr>
            </w:pPr>
          </w:p>
        </w:tc>
        <w:tc>
          <w:tcPr>
            <w:tcW w:w="766" w:type="dxa"/>
            <w:vMerge w:val="continue"/>
            <w:tcBorders>
              <w:tl2br w:val="nil"/>
              <w:tr2bl w:val="nil"/>
            </w:tcBorders>
            <w:shd w:val="clear" w:color="auto" w:fill="auto"/>
            <w:tcMar>
              <w:top w:w="15" w:type="dxa"/>
              <w:left w:w="15" w:type="dxa"/>
              <w:right w:w="15" w:type="dxa"/>
            </w:tcMar>
            <w:vAlign w:val="center"/>
          </w:tcPr>
          <w:p w14:paraId="16F71CF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heme="minorEastAsia" w:hAnsiTheme="minorEastAsia" w:eastAsiaTheme="minorEastAsia" w:cstheme="minorEastAsia"/>
                <w:b w:val="0"/>
                <w:bCs w:val="0"/>
                <w:color w:val="auto"/>
                <w:sz w:val="21"/>
                <w:szCs w:val="21"/>
              </w:rPr>
            </w:pPr>
          </w:p>
        </w:tc>
        <w:tc>
          <w:tcPr>
            <w:tcW w:w="1805" w:type="dxa"/>
            <w:tcBorders>
              <w:tl2br w:val="nil"/>
              <w:tr2bl w:val="nil"/>
            </w:tcBorders>
            <w:shd w:val="clear" w:color="auto" w:fill="auto"/>
            <w:tcMar>
              <w:top w:w="15" w:type="dxa"/>
              <w:left w:w="15" w:type="dxa"/>
              <w:right w:w="15" w:type="dxa"/>
            </w:tcMar>
            <w:vAlign w:val="center"/>
          </w:tcPr>
          <w:p w14:paraId="589F724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B超工作站及数据系统</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技术接口</w:t>
            </w:r>
          </w:p>
        </w:tc>
        <w:tc>
          <w:tcPr>
            <w:tcW w:w="3567" w:type="dxa"/>
            <w:tcBorders>
              <w:tl2br w:val="nil"/>
              <w:tr2bl w:val="nil"/>
            </w:tcBorders>
            <w:shd w:val="clear" w:color="auto" w:fill="auto"/>
            <w:tcMar>
              <w:top w:w="15" w:type="dxa"/>
              <w:left w:w="15" w:type="dxa"/>
              <w:right w:w="15" w:type="dxa"/>
            </w:tcMar>
            <w:vAlign w:val="center"/>
          </w:tcPr>
          <w:p w14:paraId="5741D8D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B超工作站系统数据采集、数据整合</w:t>
            </w:r>
          </w:p>
        </w:tc>
        <w:tc>
          <w:tcPr>
            <w:tcW w:w="767" w:type="dxa"/>
            <w:tcBorders>
              <w:tl2br w:val="nil"/>
              <w:tr2bl w:val="nil"/>
            </w:tcBorders>
            <w:shd w:val="clear" w:color="auto" w:fill="auto"/>
            <w:tcMar>
              <w:top w:w="15" w:type="dxa"/>
              <w:left w:w="15" w:type="dxa"/>
              <w:right w:w="15" w:type="dxa"/>
            </w:tcMar>
            <w:vAlign w:val="center"/>
          </w:tcPr>
          <w:p w14:paraId="7E3FBE1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套</w:t>
            </w:r>
          </w:p>
        </w:tc>
        <w:tc>
          <w:tcPr>
            <w:tcW w:w="700" w:type="dxa"/>
            <w:tcBorders>
              <w:tl2br w:val="nil"/>
              <w:tr2bl w:val="nil"/>
            </w:tcBorders>
            <w:shd w:val="clear" w:color="auto" w:fill="auto"/>
            <w:tcMar>
              <w:top w:w="15" w:type="dxa"/>
              <w:left w:w="15" w:type="dxa"/>
              <w:right w:w="15" w:type="dxa"/>
            </w:tcMar>
            <w:vAlign w:val="center"/>
          </w:tcPr>
          <w:p w14:paraId="61AE3E4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1</w:t>
            </w:r>
          </w:p>
        </w:tc>
        <w:tc>
          <w:tcPr>
            <w:tcW w:w="885" w:type="dxa"/>
            <w:vMerge w:val="continue"/>
            <w:tcBorders>
              <w:tl2br w:val="nil"/>
              <w:tr2bl w:val="nil"/>
            </w:tcBorders>
            <w:shd w:val="clear" w:color="auto" w:fill="auto"/>
            <w:tcMar>
              <w:top w:w="15" w:type="dxa"/>
              <w:left w:w="15" w:type="dxa"/>
              <w:right w:w="15" w:type="dxa"/>
            </w:tcMar>
            <w:vAlign w:val="center"/>
          </w:tcPr>
          <w:p w14:paraId="5D7B3E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heme="minorEastAsia" w:hAnsiTheme="minorEastAsia" w:eastAsiaTheme="minorEastAsia" w:cstheme="minorEastAsia"/>
                <w:b w:val="0"/>
                <w:bCs w:val="0"/>
                <w:color w:val="auto"/>
                <w:sz w:val="21"/>
                <w:szCs w:val="21"/>
              </w:rPr>
            </w:pPr>
          </w:p>
        </w:tc>
      </w:tr>
      <w:tr w14:paraId="50089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768" w:type="dxa"/>
            <w:vMerge w:val="continue"/>
            <w:tcBorders>
              <w:tl2br w:val="nil"/>
              <w:tr2bl w:val="nil"/>
            </w:tcBorders>
            <w:shd w:val="clear" w:color="auto" w:fill="auto"/>
            <w:tcMar>
              <w:top w:w="15" w:type="dxa"/>
              <w:left w:w="15" w:type="dxa"/>
              <w:right w:w="15" w:type="dxa"/>
            </w:tcMar>
            <w:vAlign w:val="center"/>
          </w:tcPr>
          <w:p w14:paraId="5FE4ECD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heme="minorEastAsia" w:hAnsiTheme="minorEastAsia" w:eastAsiaTheme="minorEastAsia" w:cstheme="minorEastAsia"/>
                <w:b w:val="0"/>
                <w:bCs w:val="0"/>
                <w:color w:val="auto"/>
                <w:sz w:val="21"/>
                <w:szCs w:val="21"/>
              </w:rPr>
            </w:pPr>
          </w:p>
        </w:tc>
        <w:tc>
          <w:tcPr>
            <w:tcW w:w="766" w:type="dxa"/>
            <w:vMerge w:val="continue"/>
            <w:tcBorders>
              <w:tl2br w:val="nil"/>
              <w:tr2bl w:val="nil"/>
            </w:tcBorders>
            <w:shd w:val="clear" w:color="auto" w:fill="auto"/>
            <w:tcMar>
              <w:top w:w="15" w:type="dxa"/>
              <w:left w:w="15" w:type="dxa"/>
              <w:right w:w="15" w:type="dxa"/>
            </w:tcMar>
            <w:vAlign w:val="center"/>
          </w:tcPr>
          <w:p w14:paraId="1AF6412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heme="minorEastAsia" w:hAnsiTheme="minorEastAsia" w:eastAsiaTheme="minorEastAsia" w:cstheme="minorEastAsia"/>
                <w:b w:val="0"/>
                <w:bCs w:val="0"/>
                <w:color w:val="auto"/>
                <w:sz w:val="21"/>
                <w:szCs w:val="21"/>
              </w:rPr>
            </w:pPr>
          </w:p>
        </w:tc>
        <w:tc>
          <w:tcPr>
            <w:tcW w:w="1805" w:type="dxa"/>
            <w:tcBorders>
              <w:tl2br w:val="nil"/>
              <w:tr2bl w:val="nil"/>
            </w:tcBorders>
            <w:shd w:val="clear" w:color="auto" w:fill="auto"/>
            <w:tcMar>
              <w:top w:w="15" w:type="dxa"/>
              <w:left w:w="15" w:type="dxa"/>
              <w:right w:w="15" w:type="dxa"/>
            </w:tcMar>
            <w:vAlign w:val="center"/>
          </w:tcPr>
          <w:p w14:paraId="6AE2304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default"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cstheme="minorEastAsia"/>
                <w:color w:val="000000" w:themeColor="text1"/>
                <w:kern w:val="2"/>
                <w:sz w:val="24"/>
                <w:szCs w:val="24"/>
                <w:lang w:val="en-US" w:eastAsia="zh-CN" w:bidi="ar-SA"/>
                <w14:textFill>
                  <w14:solidFill>
                    <w14:schemeClr w14:val="tx1"/>
                  </w14:solidFill>
                </w14:textFill>
              </w:rPr>
              <w:t>DR</w:t>
            </w: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工作站及数据系统</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技术接口</w:t>
            </w:r>
          </w:p>
        </w:tc>
        <w:tc>
          <w:tcPr>
            <w:tcW w:w="3567" w:type="dxa"/>
            <w:tcBorders>
              <w:tl2br w:val="nil"/>
              <w:tr2bl w:val="nil"/>
            </w:tcBorders>
            <w:shd w:val="clear" w:color="auto" w:fill="auto"/>
            <w:tcMar>
              <w:top w:w="15" w:type="dxa"/>
              <w:left w:w="15" w:type="dxa"/>
              <w:right w:w="15" w:type="dxa"/>
            </w:tcMar>
            <w:vAlign w:val="center"/>
          </w:tcPr>
          <w:p w14:paraId="2395835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default"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cstheme="minorEastAsia"/>
                <w:color w:val="000000" w:themeColor="text1"/>
                <w:kern w:val="2"/>
                <w:sz w:val="24"/>
                <w:szCs w:val="24"/>
                <w:lang w:val="en-US" w:eastAsia="zh-CN" w:bidi="ar-SA"/>
                <w14:textFill>
                  <w14:solidFill>
                    <w14:schemeClr w14:val="tx1"/>
                  </w14:solidFill>
                </w14:textFill>
              </w:rPr>
              <w:t>DR</w:t>
            </w: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工作站系统数据采集、数据整合</w:t>
            </w:r>
          </w:p>
        </w:tc>
        <w:tc>
          <w:tcPr>
            <w:tcW w:w="767" w:type="dxa"/>
            <w:tcBorders>
              <w:tl2br w:val="nil"/>
              <w:tr2bl w:val="nil"/>
            </w:tcBorders>
            <w:shd w:val="clear" w:color="auto" w:fill="auto"/>
            <w:tcMar>
              <w:top w:w="15" w:type="dxa"/>
              <w:left w:w="15" w:type="dxa"/>
              <w:right w:w="15" w:type="dxa"/>
            </w:tcMar>
            <w:vAlign w:val="center"/>
          </w:tcPr>
          <w:p w14:paraId="16BF7DB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套</w:t>
            </w:r>
          </w:p>
        </w:tc>
        <w:tc>
          <w:tcPr>
            <w:tcW w:w="700" w:type="dxa"/>
            <w:tcBorders>
              <w:tl2br w:val="nil"/>
              <w:tr2bl w:val="nil"/>
            </w:tcBorders>
            <w:shd w:val="clear" w:color="auto" w:fill="auto"/>
            <w:tcMar>
              <w:top w:w="15" w:type="dxa"/>
              <w:left w:w="15" w:type="dxa"/>
              <w:right w:w="15" w:type="dxa"/>
            </w:tcMar>
            <w:vAlign w:val="center"/>
          </w:tcPr>
          <w:p w14:paraId="243D99C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1</w:t>
            </w:r>
          </w:p>
        </w:tc>
        <w:tc>
          <w:tcPr>
            <w:tcW w:w="885" w:type="dxa"/>
            <w:vMerge w:val="continue"/>
            <w:tcBorders>
              <w:tl2br w:val="nil"/>
              <w:tr2bl w:val="nil"/>
            </w:tcBorders>
            <w:shd w:val="clear" w:color="auto" w:fill="auto"/>
            <w:tcMar>
              <w:top w:w="15" w:type="dxa"/>
              <w:left w:w="15" w:type="dxa"/>
              <w:right w:w="15" w:type="dxa"/>
            </w:tcMar>
            <w:vAlign w:val="center"/>
          </w:tcPr>
          <w:p w14:paraId="03432E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heme="minorEastAsia" w:hAnsiTheme="minorEastAsia" w:eastAsiaTheme="minorEastAsia" w:cstheme="minorEastAsia"/>
                <w:b w:val="0"/>
                <w:bCs w:val="0"/>
                <w:color w:val="auto"/>
                <w:sz w:val="21"/>
                <w:szCs w:val="21"/>
              </w:rPr>
            </w:pPr>
          </w:p>
        </w:tc>
      </w:tr>
      <w:tr w14:paraId="2A71C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jc w:val="center"/>
        </w:trPr>
        <w:tc>
          <w:tcPr>
            <w:tcW w:w="768" w:type="dxa"/>
            <w:vMerge w:val="continue"/>
            <w:tcBorders>
              <w:tl2br w:val="nil"/>
              <w:tr2bl w:val="nil"/>
            </w:tcBorders>
            <w:shd w:val="clear" w:color="auto" w:fill="auto"/>
            <w:tcMar>
              <w:top w:w="15" w:type="dxa"/>
              <w:left w:w="15" w:type="dxa"/>
              <w:right w:w="15" w:type="dxa"/>
            </w:tcMar>
            <w:vAlign w:val="center"/>
          </w:tcPr>
          <w:p w14:paraId="2DFD9DE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heme="minorEastAsia" w:hAnsiTheme="minorEastAsia" w:eastAsiaTheme="minorEastAsia" w:cstheme="minorEastAsia"/>
                <w:b w:val="0"/>
                <w:bCs w:val="0"/>
                <w:color w:val="auto"/>
                <w:sz w:val="21"/>
                <w:szCs w:val="21"/>
              </w:rPr>
            </w:pPr>
          </w:p>
        </w:tc>
        <w:tc>
          <w:tcPr>
            <w:tcW w:w="766" w:type="dxa"/>
            <w:vMerge w:val="continue"/>
            <w:tcBorders>
              <w:tl2br w:val="nil"/>
              <w:tr2bl w:val="nil"/>
            </w:tcBorders>
            <w:shd w:val="clear" w:color="auto" w:fill="auto"/>
            <w:tcMar>
              <w:top w:w="15" w:type="dxa"/>
              <w:left w:w="15" w:type="dxa"/>
              <w:right w:w="15" w:type="dxa"/>
            </w:tcMar>
            <w:vAlign w:val="center"/>
          </w:tcPr>
          <w:p w14:paraId="1CA4B0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heme="minorEastAsia" w:hAnsiTheme="minorEastAsia" w:eastAsiaTheme="minorEastAsia" w:cstheme="minorEastAsia"/>
                <w:b w:val="0"/>
                <w:bCs w:val="0"/>
                <w:color w:val="auto"/>
                <w:sz w:val="21"/>
                <w:szCs w:val="21"/>
              </w:rPr>
            </w:pPr>
          </w:p>
        </w:tc>
        <w:tc>
          <w:tcPr>
            <w:tcW w:w="1805" w:type="dxa"/>
            <w:tcBorders>
              <w:tl2br w:val="nil"/>
              <w:tr2bl w:val="nil"/>
            </w:tcBorders>
            <w:shd w:val="clear" w:color="auto" w:fill="auto"/>
            <w:tcMar>
              <w:top w:w="15" w:type="dxa"/>
              <w:left w:w="15" w:type="dxa"/>
              <w:right w:w="15" w:type="dxa"/>
            </w:tcMar>
            <w:vAlign w:val="center"/>
          </w:tcPr>
          <w:p w14:paraId="0142D07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全科问诊及中医体质辨识系统</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技术接口</w:t>
            </w:r>
          </w:p>
        </w:tc>
        <w:tc>
          <w:tcPr>
            <w:tcW w:w="3567" w:type="dxa"/>
            <w:tcBorders>
              <w:tl2br w:val="nil"/>
              <w:tr2bl w:val="nil"/>
            </w:tcBorders>
            <w:shd w:val="clear" w:color="auto" w:fill="auto"/>
            <w:tcMar>
              <w:top w:w="15" w:type="dxa"/>
              <w:left w:w="15" w:type="dxa"/>
              <w:right w:w="15" w:type="dxa"/>
            </w:tcMar>
            <w:vAlign w:val="center"/>
          </w:tcPr>
          <w:p w14:paraId="6D93F28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公卫体检生活方式、用药情况等全科问诊及中医体质辨识工作站系统</w:t>
            </w:r>
          </w:p>
        </w:tc>
        <w:tc>
          <w:tcPr>
            <w:tcW w:w="767" w:type="dxa"/>
            <w:tcBorders>
              <w:tl2br w:val="nil"/>
              <w:tr2bl w:val="nil"/>
            </w:tcBorders>
            <w:shd w:val="clear" w:color="auto" w:fill="auto"/>
            <w:tcMar>
              <w:top w:w="15" w:type="dxa"/>
              <w:left w:w="15" w:type="dxa"/>
              <w:right w:w="15" w:type="dxa"/>
            </w:tcMar>
            <w:vAlign w:val="center"/>
          </w:tcPr>
          <w:p w14:paraId="7B352E8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套</w:t>
            </w:r>
          </w:p>
        </w:tc>
        <w:tc>
          <w:tcPr>
            <w:tcW w:w="700" w:type="dxa"/>
            <w:tcBorders>
              <w:tl2br w:val="nil"/>
              <w:tr2bl w:val="nil"/>
            </w:tcBorders>
            <w:shd w:val="clear" w:color="auto" w:fill="auto"/>
            <w:tcMar>
              <w:top w:w="15" w:type="dxa"/>
              <w:left w:w="15" w:type="dxa"/>
              <w:right w:w="15" w:type="dxa"/>
            </w:tcMar>
            <w:vAlign w:val="center"/>
          </w:tcPr>
          <w:p w14:paraId="73C36C6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1</w:t>
            </w:r>
          </w:p>
        </w:tc>
        <w:tc>
          <w:tcPr>
            <w:tcW w:w="885" w:type="dxa"/>
            <w:vMerge w:val="continue"/>
            <w:tcBorders>
              <w:tl2br w:val="nil"/>
              <w:tr2bl w:val="nil"/>
            </w:tcBorders>
            <w:shd w:val="clear" w:color="auto" w:fill="auto"/>
            <w:tcMar>
              <w:top w:w="15" w:type="dxa"/>
              <w:left w:w="15" w:type="dxa"/>
              <w:right w:w="15" w:type="dxa"/>
            </w:tcMar>
            <w:vAlign w:val="center"/>
          </w:tcPr>
          <w:p w14:paraId="4C73864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heme="minorEastAsia" w:hAnsiTheme="minorEastAsia" w:eastAsiaTheme="minorEastAsia" w:cstheme="minorEastAsia"/>
                <w:b w:val="0"/>
                <w:bCs w:val="0"/>
                <w:color w:val="auto"/>
                <w:sz w:val="21"/>
                <w:szCs w:val="21"/>
              </w:rPr>
            </w:pPr>
          </w:p>
        </w:tc>
      </w:tr>
      <w:tr w14:paraId="1ED36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768" w:type="dxa"/>
            <w:vMerge w:val="continue"/>
            <w:tcBorders>
              <w:tl2br w:val="nil"/>
              <w:tr2bl w:val="nil"/>
            </w:tcBorders>
            <w:shd w:val="clear" w:color="auto" w:fill="auto"/>
            <w:tcMar>
              <w:top w:w="15" w:type="dxa"/>
              <w:left w:w="15" w:type="dxa"/>
              <w:right w:w="15" w:type="dxa"/>
            </w:tcMar>
            <w:vAlign w:val="center"/>
          </w:tcPr>
          <w:p w14:paraId="461BE05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heme="minorEastAsia" w:hAnsiTheme="minorEastAsia" w:eastAsiaTheme="minorEastAsia" w:cstheme="minorEastAsia"/>
                <w:b w:val="0"/>
                <w:bCs w:val="0"/>
                <w:color w:val="auto"/>
                <w:sz w:val="21"/>
                <w:szCs w:val="21"/>
              </w:rPr>
            </w:pPr>
          </w:p>
        </w:tc>
        <w:tc>
          <w:tcPr>
            <w:tcW w:w="766" w:type="dxa"/>
            <w:vMerge w:val="continue"/>
            <w:tcBorders>
              <w:tl2br w:val="nil"/>
              <w:tr2bl w:val="nil"/>
            </w:tcBorders>
            <w:shd w:val="clear" w:color="auto" w:fill="auto"/>
            <w:tcMar>
              <w:top w:w="15" w:type="dxa"/>
              <w:left w:w="15" w:type="dxa"/>
              <w:right w:w="15" w:type="dxa"/>
            </w:tcMar>
            <w:vAlign w:val="center"/>
          </w:tcPr>
          <w:p w14:paraId="25636E4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heme="minorEastAsia" w:hAnsiTheme="minorEastAsia" w:eastAsiaTheme="minorEastAsia" w:cstheme="minorEastAsia"/>
                <w:b w:val="0"/>
                <w:bCs w:val="0"/>
                <w:color w:val="auto"/>
                <w:sz w:val="21"/>
                <w:szCs w:val="21"/>
              </w:rPr>
            </w:pPr>
          </w:p>
        </w:tc>
        <w:tc>
          <w:tcPr>
            <w:tcW w:w="1805" w:type="dxa"/>
            <w:tcBorders>
              <w:tl2br w:val="nil"/>
              <w:tr2bl w:val="nil"/>
            </w:tcBorders>
            <w:shd w:val="clear" w:color="auto" w:fill="auto"/>
            <w:tcMar>
              <w:top w:w="15" w:type="dxa"/>
              <w:left w:w="15" w:type="dxa"/>
              <w:right w:w="15" w:type="dxa"/>
            </w:tcMar>
            <w:vAlign w:val="center"/>
          </w:tcPr>
          <w:p w14:paraId="3978122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数据管理</w:t>
            </w:r>
          </w:p>
          <w:p w14:paraId="2AAA479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Theme="minorEastAsia" w:hAnsiTheme="minorEastAsia" w:eastAsiaTheme="minorEastAsia" w:cstheme="minorEastAsia"/>
                <w:b w:val="0"/>
                <w:bCs w:val="0"/>
                <w:color w:val="auto"/>
                <w:kern w:val="0"/>
                <w:sz w:val="21"/>
                <w:szCs w:val="21"/>
                <w:lang w:eastAsia="zh-CN"/>
              </w:rPr>
            </w:pP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平台</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技术服务</w:t>
            </w:r>
          </w:p>
        </w:tc>
        <w:tc>
          <w:tcPr>
            <w:tcW w:w="3567" w:type="dxa"/>
            <w:tcBorders>
              <w:tl2br w:val="nil"/>
              <w:tr2bl w:val="nil"/>
            </w:tcBorders>
            <w:shd w:val="clear" w:color="auto" w:fill="auto"/>
            <w:tcMar>
              <w:top w:w="15" w:type="dxa"/>
              <w:left w:w="15" w:type="dxa"/>
              <w:right w:w="15" w:type="dxa"/>
            </w:tcMar>
            <w:vAlign w:val="center"/>
          </w:tcPr>
          <w:p w14:paraId="05D0994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Theme="minorEastAsia" w:hAnsiTheme="minorEastAsia" w:eastAsiaTheme="minorEastAsia" w:cstheme="minorEastAsia"/>
                <w:b w:val="0"/>
                <w:bCs w:val="0"/>
                <w:color w:val="auto"/>
                <w:kern w:val="0"/>
                <w:sz w:val="21"/>
                <w:szCs w:val="21"/>
                <w:lang w:eastAsia="zh-CN"/>
              </w:rPr>
            </w:pP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展示基本公卫数据统计、分析</w:t>
            </w:r>
          </w:p>
        </w:tc>
        <w:tc>
          <w:tcPr>
            <w:tcW w:w="767" w:type="dxa"/>
            <w:tcBorders>
              <w:tl2br w:val="nil"/>
              <w:tr2bl w:val="nil"/>
            </w:tcBorders>
            <w:shd w:val="clear" w:color="auto" w:fill="auto"/>
            <w:tcMar>
              <w:top w:w="15" w:type="dxa"/>
              <w:left w:w="15" w:type="dxa"/>
              <w:right w:w="15" w:type="dxa"/>
            </w:tcMar>
            <w:vAlign w:val="center"/>
          </w:tcPr>
          <w:p w14:paraId="19CE185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Theme="minorEastAsia" w:hAnsiTheme="minorEastAsia" w:eastAsiaTheme="minorEastAsia" w:cstheme="minorEastAsia"/>
                <w:b w:val="0"/>
                <w:bCs w:val="0"/>
                <w:color w:val="auto"/>
                <w:kern w:val="0"/>
                <w:sz w:val="21"/>
                <w:szCs w:val="21"/>
                <w:lang w:eastAsia="zh-CN"/>
              </w:rPr>
            </w:pP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套</w:t>
            </w:r>
          </w:p>
        </w:tc>
        <w:tc>
          <w:tcPr>
            <w:tcW w:w="700" w:type="dxa"/>
            <w:tcBorders>
              <w:tl2br w:val="nil"/>
              <w:tr2bl w:val="nil"/>
            </w:tcBorders>
            <w:shd w:val="clear" w:color="auto" w:fill="auto"/>
            <w:tcMar>
              <w:top w:w="15" w:type="dxa"/>
              <w:left w:w="15" w:type="dxa"/>
              <w:right w:w="15" w:type="dxa"/>
            </w:tcMar>
            <w:vAlign w:val="center"/>
          </w:tcPr>
          <w:p w14:paraId="205DFFF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1</w:t>
            </w:r>
          </w:p>
        </w:tc>
        <w:tc>
          <w:tcPr>
            <w:tcW w:w="885" w:type="dxa"/>
            <w:vMerge w:val="continue"/>
            <w:tcBorders>
              <w:tl2br w:val="nil"/>
              <w:tr2bl w:val="nil"/>
            </w:tcBorders>
            <w:shd w:val="clear" w:color="auto" w:fill="auto"/>
            <w:tcMar>
              <w:top w:w="15" w:type="dxa"/>
              <w:left w:w="15" w:type="dxa"/>
              <w:right w:w="15" w:type="dxa"/>
            </w:tcMar>
            <w:vAlign w:val="center"/>
          </w:tcPr>
          <w:p w14:paraId="206E42B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heme="minorEastAsia" w:hAnsiTheme="minorEastAsia" w:eastAsiaTheme="minorEastAsia" w:cstheme="minorEastAsia"/>
                <w:b w:val="0"/>
                <w:bCs w:val="0"/>
                <w:color w:val="auto"/>
                <w:sz w:val="21"/>
                <w:szCs w:val="21"/>
              </w:rPr>
            </w:pPr>
          </w:p>
        </w:tc>
      </w:tr>
      <w:tr w14:paraId="678C6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768" w:type="dxa"/>
            <w:vMerge w:val="continue"/>
            <w:tcBorders>
              <w:tl2br w:val="nil"/>
              <w:tr2bl w:val="nil"/>
            </w:tcBorders>
            <w:shd w:val="clear" w:color="auto" w:fill="auto"/>
            <w:tcMar>
              <w:top w:w="15" w:type="dxa"/>
              <w:left w:w="15" w:type="dxa"/>
              <w:right w:w="15" w:type="dxa"/>
            </w:tcMar>
            <w:vAlign w:val="center"/>
          </w:tcPr>
          <w:p w14:paraId="5702B58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heme="minorEastAsia" w:hAnsiTheme="minorEastAsia" w:eastAsiaTheme="minorEastAsia" w:cstheme="minorEastAsia"/>
                <w:b w:val="0"/>
                <w:bCs w:val="0"/>
                <w:color w:val="auto"/>
                <w:sz w:val="21"/>
                <w:szCs w:val="21"/>
              </w:rPr>
            </w:pPr>
          </w:p>
        </w:tc>
        <w:tc>
          <w:tcPr>
            <w:tcW w:w="766" w:type="dxa"/>
            <w:vMerge w:val="continue"/>
            <w:tcBorders>
              <w:tl2br w:val="nil"/>
              <w:tr2bl w:val="nil"/>
            </w:tcBorders>
            <w:shd w:val="clear" w:color="auto" w:fill="auto"/>
            <w:tcMar>
              <w:top w:w="15" w:type="dxa"/>
              <w:left w:w="15" w:type="dxa"/>
              <w:right w:w="15" w:type="dxa"/>
            </w:tcMar>
            <w:vAlign w:val="center"/>
          </w:tcPr>
          <w:p w14:paraId="7FD03A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heme="minorEastAsia" w:hAnsiTheme="minorEastAsia" w:eastAsiaTheme="minorEastAsia" w:cstheme="minorEastAsia"/>
                <w:b w:val="0"/>
                <w:bCs w:val="0"/>
                <w:color w:val="auto"/>
                <w:sz w:val="21"/>
                <w:szCs w:val="21"/>
              </w:rPr>
            </w:pPr>
          </w:p>
        </w:tc>
        <w:tc>
          <w:tcPr>
            <w:tcW w:w="1805" w:type="dxa"/>
            <w:tcBorders>
              <w:tl2br w:val="nil"/>
              <w:tr2bl w:val="nil"/>
            </w:tcBorders>
            <w:shd w:val="clear" w:color="auto" w:fill="auto"/>
            <w:tcMar>
              <w:top w:w="15" w:type="dxa"/>
              <w:left w:w="15" w:type="dxa"/>
              <w:right w:w="15" w:type="dxa"/>
            </w:tcMar>
            <w:vAlign w:val="center"/>
          </w:tcPr>
          <w:p w14:paraId="231EAE5B">
            <w:pPr>
              <w:widowControl/>
              <w:spacing w:line="240" w:lineRule="auto"/>
              <w:jc w:val="center"/>
              <w:textAlignment w:val="center"/>
              <w:rPr>
                <w:rFonts w:hint="eastAsia" w:asciiTheme="minorEastAsia" w:hAnsiTheme="minorEastAsia" w:eastAsiaTheme="minorEastAsia" w:cstheme="minorEastAsia"/>
                <w:b w:val="0"/>
                <w:bCs w:val="0"/>
                <w:color w:val="auto"/>
                <w:kern w:val="0"/>
                <w:sz w:val="21"/>
                <w:szCs w:val="21"/>
                <w:lang w:val="en-US" w:eastAsia="zh-CN" w:bidi="ar-SA"/>
              </w:rPr>
            </w:pP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数据整合打印系统</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技术服务</w:t>
            </w:r>
          </w:p>
        </w:tc>
        <w:tc>
          <w:tcPr>
            <w:tcW w:w="3567" w:type="dxa"/>
            <w:tcBorders>
              <w:tl2br w:val="nil"/>
              <w:tr2bl w:val="nil"/>
            </w:tcBorders>
            <w:shd w:val="clear" w:color="auto" w:fill="auto"/>
            <w:tcMar>
              <w:top w:w="15" w:type="dxa"/>
              <w:left w:w="15" w:type="dxa"/>
              <w:right w:w="15" w:type="dxa"/>
            </w:tcMar>
            <w:vAlign w:val="center"/>
          </w:tcPr>
          <w:p w14:paraId="683A1A56">
            <w:pPr>
              <w:widowControl/>
              <w:spacing w:line="240" w:lineRule="auto"/>
              <w:jc w:val="center"/>
              <w:textAlignment w:val="center"/>
              <w:rPr>
                <w:rFonts w:hint="eastAsia" w:asciiTheme="minorEastAsia" w:hAnsiTheme="minorEastAsia" w:eastAsiaTheme="minorEastAsia" w:cstheme="minorEastAsia"/>
                <w:b w:val="0"/>
                <w:bCs w:val="0"/>
                <w:color w:val="auto"/>
                <w:kern w:val="0"/>
                <w:sz w:val="21"/>
                <w:szCs w:val="21"/>
                <w:lang w:val="en-US" w:eastAsia="zh-CN" w:bidi="ar-SA"/>
              </w:rPr>
            </w:pP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数据批量整合、批量打印</w:t>
            </w:r>
          </w:p>
        </w:tc>
        <w:tc>
          <w:tcPr>
            <w:tcW w:w="767" w:type="dxa"/>
            <w:tcBorders>
              <w:tl2br w:val="nil"/>
              <w:tr2bl w:val="nil"/>
            </w:tcBorders>
            <w:shd w:val="clear" w:color="auto" w:fill="auto"/>
            <w:tcMar>
              <w:top w:w="15" w:type="dxa"/>
              <w:left w:w="15" w:type="dxa"/>
              <w:right w:w="15" w:type="dxa"/>
            </w:tcMar>
            <w:vAlign w:val="center"/>
          </w:tcPr>
          <w:p w14:paraId="1BDC831F">
            <w:pPr>
              <w:widowControl/>
              <w:spacing w:line="240" w:lineRule="auto"/>
              <w:jc w:val="center"/>
              <w:textAlignment w:val="center"/>
              <w:rPr>
                <w:rFonts w:hint="eastAsia" w:asciiTheme="minorEastAsia" w:hAnsiTheme="minorEastAsia" w:eastAsiaTheme="minorEastAsia" w:cstheme="minorEastAsia"/>
                <w:b w:val="0"/>
                <w:bCs w:val="0"/>
                <w:color w:val="auto"/>
                <w:kern w:val="0"/>
                <w:sz w:val="21"/>
                <w:szCs w:val="21"/>
                <w:lang w:val="en-US" w:eastAsia="zh-CN" w:bidi="ar-SA"/>
              </w:rPr>
            </w:pP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套</w:t>
            </w:r>
          </w:p>
        </w:tc>
        <w:tc>
          <w:tcPr>
            <w:tcW w:w="700" w:type="dxa"/>
            <w:tcBorders>
              <w:tl2br w:val="nil"/>
              <w:tr2bl w:val="nil"/>
            </w:tcBorders>
            <w:shd w:val="clear" w:color="auto" w:fill="auto"/>
            <w:tcMar>
              <w:top w:w="15" w:type="dxa"/>
              <w:left w:w="15" w:type="dxa"/>
              <w:right w:w="15" w:type="dxa"/>
            </w:tcMar>
            <w:vAlign w:val="center"/>
          </w:tcPr>
          <w:p w14:paraId="0DCE5AC2">
            <w:pPr>
              <w:widowControl/>
              <w:spacing w:line="240" w:lineRule="auto"/>
              <w:jc w:val="center"/>
              <w:textAlignment w:val="center"/>
              <w:rPr>
                <w:rFonts w:hint="eastAsia" w:asciiTheme="minorEastAsia" w:hAnsiTheme="minorEastAsia" w:eastAsiaTheme="minorEastAsia" w:cstheme="minorEastAsia"/>
                <w:b w:val="0"/>
                <w:bCs w:val="0"/>
                <w:color w:val="auto"/>
                <w:kern w:val="0"/>
                <w:sz w:val="21"/>
                <w:szCs w:val="21"/>
                <w:lang w:val="en-US" w:eastAsia="zh-CN" w:bidi="ar-SA"/>
              </w:rPr>
            </w:pP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1</w:t>
            </w:r>
          </w:p>
        </w:tc>
        <w:tc>
          <w:tcPr>
            <w:tcW w:w="885" w:type="dxa"/>
            <w:vMerge w:val="continue"/>
            <w:tcBorders>
              <w:tl2br w:val="nil"/>
              <w:tr2bl w:val="nil"/>
            </w:tcBorders>
            <w:shd w:val="clear" w:color="auto" w:fill="auto"/>
            <w:tcMar>
              <w:top w:w="15" w:type="dxa"/>
              <w:left w:w="15" w:type="dxa"/>
              <w:right w:w="15" w:type="dxa"/>
            </w:tcMar>
            <w:vAlign w:val="center"/>
          </w:tcPr>
          <w:p w14:paraId="0313128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heme="minorEastAsia" w:hAnsiTheme="minorEastAsia" w:eastAsiaTheme="minorEastAsia" w:cstheme="minorEastAsia"/>
                <w:b w:val="0"/>
                <w:bCs w:val="0"/>
                <w:color w:val="auto"/>
                <w:sz w:val="21"/>
                <w:szCs w:val="21"/>
              </w:rPr>
            </w:pPr>
          </w:p>
        </w:tc>
      </w:tr>
      <w:tr w14:paraId="590CA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jc w:val="center"/>
        </w:trPr>
        <w:tc>
          <w:tcPr>
            <w:tcW w:w="768" w:type="dxa"/>
            <w:vMerge w:val="continue"/>
            <w:tcBorders>
              <w:tl2br w:val="nil"/>
              <w:tr2bl w:val="nil"/>
            </w:tcBorders>
            <w:shd w:val="clear" w:color="auto" w:fill="auto"/>
            <w:tcMar>
              <w:top w:w="15" w:type="dxa"/>
              <w:left w:w="15" w:type="dxa"/>
              <w:right w:w="15" w:type="dxa"/>
            </w:tcMar>
            <w:vAlign w:val="center"/>
          </w:tcPr>
          <w:p w14:paraId="7D4EBB6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heme="minorEastAsia" w:hAnsiTheme="minorEastAsia" w:eastAsiaTheme="minorEastAsia" w:cstheme="minorEastAsia"/>
                <w:b w:val="0"/>
                <w:bCs w:val="0"/>
                <w:color w:val="auto"/>
                <w:sz w:val="21"/>
                <w:szCs w:val="21"/>
              </w:rPr>
            </w:pPr>
          </w:p>
        </w:tc>
        <w:tc>
          <w:tcPr>
            <w:tcW w:w="766" w:type="dxa"/>
            <w:vMerge w:val="continue"/>
            <w:tcBorders>
              <w:tl2br w:val="nil"/>
              <w:tr2bl w:val="nil"/>
            </w:tcBorders>
            <w:shd w:val="clear" w:color="auto" w:fill="auto"/>
            <w:tcMar>
              <w:top w:w="15" w:type="dxa"/>
              <w:left w:w="15" w:type="dxa"/>
              <w:right w:w="15" w:type="dxa"/>
            </w:tcMar>
            <w:vAlign w:val="center"/>
          </w:tcPr>
          <w:p w14:paraId="709FFE9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heme="minorEastAsia" w:hAnsiTheme="minorEastAsia" w:eastAsiaTheme="minorEastAsia" w:cstheme="minorEastAsia"/>
                <w:b w:val="0"/>
                <w:bCs w:val="0"/>
                <w:color w:val="auto"/>
                <w:sz w:val="21"/>
                <w:szCs w:val="21"/>
              </w:rPr>
            </w:pPr>
          </w:p>
        </w:tc>
        <w:tc>
          <w:tcPr>
            <w:tcW w:w="1805" w:type="dxa"/>
            <w:tcBorders>
              <w:tl2br w:val="nil"/>
              <w:tr2bl w:val="nil"/>
            </w:tcBorders>
            <w:shd w:val="clear" w:color="auto" w:fill="auto"/>
            <w:tcMar>
              <w:top w:w="15" w:type="dxa"/>
              <w:left w:w="15" w:type="dxa"/>
              <w:right w:w="15" w:type="dxa"/>
            </w:tcMar>
            <w:vAlign w:val="center"/>
          </w:tcPr>
          <w:p w14:paraId="7F30E80C">
            <w:pPr>
              <w:widowControl/>
              <w:spacing w:line="240" w:lineRule="auto"/>
              <w:jc w:val="center"/>
              <w:textAlignment w:val="center"/>
              <w:rPr>
                <w:rFonts w:hint="eastAsia" w:asciiTheme="minorEastAsia" w:hAnsiTheme="minorEastAsia" w:eastAsiaTheme="minorEastAsia" w:cstheme="minorEastAsia"/>
                <w:b w:val="0"/>
                <w:bCs w:val="0"/>
                <w:color w:val="auto"/>
                <w:kern w:val="0"/>
                <w:sz w:val="21"/>
                <w:szCs w:val="21"/>
                <w:lang w:val="en-US" w:eastAsia="zh-CN" w:bidi="ar-SA"/>
              </w:rPr>
            </w:pP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质控系统</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技术服务</w:t>
            </w:r>
          </w:p>
        </w:tc>
        <w:tc>
          <w:tcPr>
            <w:tcW w:w="3567" w:type="dxa"/>
            <w:tcBorders>
              <w:tl2br w:val="nil"/>
              <w:tr2bl w:val="nil"/>
            </w:tcBorders>
            <w:shd w:val="clear" w:color="auto" w:fill="auto"/>
            <w:tcMar>
              <w:top w:w="15" w:type="dxa"/>
              <w:left w:w="15" w:type="dxa"/>
              <w:right w:w="15" w:type="dxa"/>
            </w:tcMar>
            <w:vAlign w:val="center"/>
          </w:tcPr>
          <w:p w14:paraId="4D975143">
            <w:pPr>
              <w:widowControl/>
              <w:spacing w:line="240" w:lineRule="auto"/>
              <w:jc w:val="center"/>
              <w:textAlignment w:val="center"/>
              <w:rPr>
                <w:rFonts w:hint="eastAsia" w:asciiTheme="minorEastAsia" w:hAnsiTheme="minorEastAsia" w:eastAsiaTheme="minorEastAsia" w:cstheme="minorEastAsia"/>
                <w:b w:val="0"/>
                <w:bCs w:val="0"/>
                <w:color w:val="auto"/>
                <w:kern w:val="0"/>
                <w:sz w:val="21"/>
                <w:szCs w:val="21"/>
                <w:lang w:val="en-US" w:eastAsia="zh-CN" w:bidi="ar-SA"/>
              </w:rPr>
            </w:pP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数据分析、审核、</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筛查缺项漏项</w:t>
            </w:r>
          </w:p>
        </w:tc>
        <w:tc>
          <w:tcPr>
            <w:tcW w:w="767" w:type="dxa"/>
            <w:tcBorders>
              <w:tl2br w:val="nil"/>
              <w:tr2bl w:val="nil"/>
            </w:tcBorders>
            <w:shd w:val="clear" w:color="auto" w:fill="auto"/>
            <w:tcMar>
              <w:top w:w="15" w:type="dxa"/>
              <w:left w:w="15" w:type="dxa"/>
              <w:right w:w="15" w:type="dxa"/>
            </w:tcMar>
            <w:vAlign w:val="center"/>
          </w:tcPr>
          <w:p w14:paraId="1BF6C214">
            <w:pPr>
              <w:widowControl/>
              <w:spacing w:line="240" w:lineRule="auto"/>
              <w:jc w:val="center"/>
              <w:textAlignment w:val="center"/>
              <w:rPr>
                <w:rFonts w:hint="eastAsia" w:asciiTheme="minorEastAsia" w:hAnsiTheme="minorEastAsia" w:eastAsiaTheme="minorEastAsia" w:cstheme="minorEastAsia"/>
                <w:b w:val="0"/>
                <w:bCs w:val="0"/>
                <w:color w:val="auto"/>
                <w:kern w:val="0"/>
                <w:sz w:val="21"/>
                <w:szCs w:val="21"/>
                <w:lang w:val="en-US" w:eastAsia="zh-CN" w:bidi="ar-SA"/>
              </w:rPr>
            </w:pP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套</w:t>
            </w:r>
          </w:p>
        </w:tc>
        <w:tc>
          <w:tcPr>
            <w:tcW w:w="700" w:type="dxa"/>
            <w:tcBorders>
              <w:tl2br w:val="nil"/>
              <w:tr2bl w:val="nil"/>
            </w:tcBorders>
            <w:shd w:val="clear" w:color="auto" w:fill="auto"/>
            <w:tcMar>
              <w:top w:w="15" w:type="dxa"/>
              <w:left w:w="15" w:type="dxa"/>
              <w:right w:w="15" w:type="dxa"/>
            </w:tcMar>
            <w:vAlign w:val="center"/>
          </w:tcPr>
          <w:p w14:paraId="2AC486B1">
            <w:pPr>
              <w:widowControl/>
              <w:spacing w:line="240" w:lineRule="auto"/>
              <w:jc w:val="center"/>
              <w:textAlignment w:val="center"/>
              <w:rPr>
                <w:rFonts w:hint="eastAsia" w:asciiTheme="minorEastAsia" w:hAnsiTheme="minorEastAsia" w:eastAsiaTheme="minorEastAsia" w:cstheme="minorEastAsia"/>
                <w:b w:val="0"/>
                <w:bCs w:val="0"/>
                <w:color w:val="auto"/>
                <w:kern w:val="0"/>
                <w:sz w:val="21"/>
                <w:szCs w:val="21"/>
                <w:lang w:val="en-US" w:eastAsia="zh-CN" w:bidi="ar-SA"/>
              </w:rPr>
            </w:pP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1</w:t>
            </w:r>
          </w:p>
        </w:tc>
        <w:tc>
          <w:tcPr>
            <w:tcW w:w="885" w:type="dxa"/>
            <w:vMerge w:val="continue"/>
            <w:tcBorders>
              <w:tl2br w:val="nil"/>
              <w:tr2bl w:val="nil"/>
            </w:tcBorders>
            <w:shd w:val="clear" w:color="auto" w:fill="auto"/>
            <w:tcMar>
              <w:top w:w="15" w:type="dxa"/>
              <w:left w:w="15" w:type="dxa"/>
              <w:right w:w="15" w:type="dxa"/>
            </w:tcMar>
            <w:vAlign w:val="center"/>
          </w:tcPr>
          <w:p w14:paraId="45CB796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heme="minorEastAsia" w:hAnsiTheme="minorEastAsia" w:eastAsiaTheme="minorEastAsia" w:cstheme="minorEastAsia"/>
                <w:b w:val="0"/>
                <w:bCs w:val="0"/>
                <w:color w:val="auto"/>
                <w:sz w:val="21"/>
                <w:szCs w:val="21"/>
              </w:rPr>
            </w:pPr>
          </w:p>
        </w:tc>
      </w:tr>
      <w:tr w14:paraId="73FC9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jc w:val="center"/>
        </w:trPr>
        <w:tc>
          <w:tcPr>
            <w:tcW w:w="768" w:type="dxa"/>
            <w:vMerge w:val="continue"/>
            <w:tcBorders>
              <w:tl2br w:val="nil"/>
              <w:tr2bl w:val="nil"/>
            </w:tcBorders>
            <w:shd w:val="clear" w:color="auto" w:fill="auto"/>
            <w:tcMar>
              <w:top w:w="15" w:type="dxa"/>
              <w:left w:w="15" w:type="dxa"/>
              <w:right w:w="15" w:type="dxa"/>
            </w:tcMar>
            <w:vAlign w:val="center"/>
          </w:tcPr>
          <w:p w14:paraId="2EC8EE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heme="minorEastAsia" w:hAnsiTheme="minorEastAsia" w:eastAsiaTheme="minorEastAsia" w:cstheme="minorEastAsia"/>
                <w:b w:val="0"/>
                <w:bCs w:val="0"/>
                <w:color w:val="auto"/>
                <w:sz w:val="21"/>
                <w:szCs w:val="21"/>
              </w:rPr>
            </w:pPr>
          </w:p>
        </w:tc>
        <w:tc>
          <w:tcPr>
            <w:tcW w:w="766" w:type="dxa"/>
            <w:vMerge w:val="continue"/>
            <w:tcBorders>
              <w:tl2br w:val="nil"/>
              <w:tr2bl w:val="nil"/>
            </w:tcBorders>
            <w:shd w:val="clear" w:color="auto" w:fill="auto"/>
            <w:tcMar>
              <w:top w:w="15" w:type="dxa"/>
              <w:left w:w="15" w:type="dxa"/>
              <w:right w:w="15" w:type="dxa"/>
            </w:tcMar>
            <w:vAlign w:val="center"/>
          </w:tcPr>
          <w:p w14:paraId="5131D4E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heme="minorEastAsia" w:hAnsiTheme="minorEastAsia" w:eastAsiaTheme="minorEastAsia" w:cstheme="minorEastAsia"/>
                <w:b w:val="0"/>
                <w:bCs w:val="0"/>
                <w:color w:val="auto"/>
                <w:sz w:val="21"/>
                <w:szCs w:val="21"/>
              </w:rPr>
            </w:pPr>
          </w:p>
        </w:tc>
        <w:tc>
          <w:tcPr>
            <w:tcW w:w="1805" w:type="dxa"/>
            <w:tcBorders>
              <w:tl2br w:val="nil"/>
              <w:tr2bl w:val="nil"/>
            </w:tcBorders>
            <w:shd w:val="clear" w:color="auto" w:fill="auto"/>
            <w:tcMar>
              <w:top w:w="15" w:type="dxa"/>
              <w:left w:w="15" w:type="dxa"/>
              <w:right w:w="15" w:type="dxa"/>
            </w:tcMar>
            <w:vAlign w:val="center"/>
          </w:tcPr>
          <w:p w14:paraId="16BD48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上传接口系统</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技术服务</w:t>
            </w:r>
          </w:p>
        </w:tc>
        <w:tc>
          <w:tcPr>
            <w:tcW w:w="3567" w:type="dxa"/>
            <w:tcBorders>
              <w:tl2br w:val="nil"/>
              <w:tr2bl w:val="nil"/>
            </w:tcBorders>
            <w:shd w:val="clear" w:color="auto" w:fill="auto"/>
            <w:tcMar>
              <w:top w:w="15" w:type="dxa"/>
              <w:left w:w="15" w:type="dxa"/>
              <w:right w:w="15" w:type="dxa"/>
            </w:tcMar>
            <w:vAlign w:val="center"/>
          </w:tcPr>
          <w:p w14:paraId="43944B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对接</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四川省基层卫生信息云平台</w:t>
            </w:r>
          </w:p>
        </w:tc>
        <w:tc>
          <w:tcPr>
            <w:tcW w:w="767" w:type="dxa"/>
            <w:tcBorders>
              <w:tl2br w:val="nil"/>
              <w:tr2bl w:val="nil"/>
            </w:tcBorders>
            <w:shd w:val="clear" w:color="auto" w:fill="auto"/>
            <w:tcMar>
              <w:top w:w="15" w:type="dxa"/>
              <w:left w:w="15" w:type="dxa"/>
              <w:right w:w="15" w:type="dxa"/>
            </w:tcMar>
            <w:vAlign w:val="center"/>
          </w:tcPr>
          <w:p w14:paraId="531D44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套</w:t>
            </w:r>
          </w:p>
        </w:tc>
        <w:tc>
          <w:tcPr>
            <w:tcW w:w="700" w:type="dxa"/>
            <w:tcBorders>
              <w:tl2br w:val="nil"/>
              <w:tr2bl w:val="nil"/>
            </w:tcBorders>
            <w:shd w:val="clear" w:color="auto" w:fill="auto"/>
            <w:tcMar>
              <w:top w:w="15" w:type="dxa"/>
              <w:left w:w="15" w:type="dxa"/>
              <w:right w:w="15" w:type="dxa"/>
            </w:tcMar>
            <w:vAlign w:val="center"/>
          </w:tcPr>
          <w:p w14:paraId="47C8D7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1</w:t>
            </w:r>
          </w:p>
        </w:tc>
        <w:tc>
          <w:tcPr>
            <w:tcW w:w="885" w:type="dxa"/>
            <w:vMerge w:val="continue"/>
            <w:tcBorders>
              <w:tl2br w:val="nil"/>
              <w:tr2bl w:val="nil"/>
            </w:tcBorders>
            <w:shd w:val="clear" w:color="auto" w:fill="auto"/>
            <w:tcMar>
              <w:top w:w="15" w:type="dxa"/>
              <w:left w:w="15" w:type="dxa"/>
              <w:right w:w="15" w:type="dxa"/>
            </w:tcMar>
            <w:vAlign w:val="center"/>
          </w:tcPr>
          <w:p w14:paraId="3A7872C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heme="minorEastAsia" w:hAnsiTheme="minorEastAsia" w:eastAsiaTheme="minorEastAsia" w:cstheme="minorEastAsia"/>
                <w:b w:val="0"/>
                <w:bCs w:val="0"/>
                <w:color w:val="auto"/>
                <w:sz w:val="21"/>
                <w:szCs w:val="21"/>
              </w:rPr>
            </w:pPr>
          </w:p>
        </w:tc>
      </w:tr>
      <w:tr w14:paraId="58D4C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jc w:val="center"/>
        </w:trPr>
        <w:tc>
          <w:tcPr>
            <w:tcW w:w="768" w:type="dxa"/>
            <w:vMerge w:val="continue"/>
            <w:tcBorders>
              <w:tl2br w:val="nil"/>
              <w:tr2bl w:val="nil"/>
            </w:tcBorders>
            <w:shd w:val="clear" w:color="auto" w:fill="auto"/>
            <w:tcMar>
              <w:top w:w="15" w:type="dxa"/>
              <w:left w:w="15" w:type="dxa"/>
              <w:right w:w="15" w:type="dxa"/>
            </w:tcMar>
            <w:vAlign w:val="center"/>
          </w:tcPr>
          <w:p w14:paraId="587AE3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heme="minorEastAsia" w:hAnsiTheme="minorEastAsia" w:eastAsiaTheme="minorEastAsia" w:cstheme="minorEastAsia"/>
                <w:b w:val="0"/>
                <w:bCs w:val="0"/>
                <w:color w:val="auto"/>
                <w:sz w:val="21"/>
                <w:szCs w:val="21"/>
              </w:rPr>
            </w:pPr>
          </w:p>
        </w:tc>
        <w:tc>
          <w:tcPr>
            <w:tcW w:w="766" w:type="dxa"/>
            <w:vMerge w:val="continue"/>
            <w:tcBorders>
              <w:tl2br w:val="nil"/>
              <w:tr2bl w:val="nil"/>
            </w:tcBorders>
            <w:shd w:val="clear" w:color="auto" w:fill="auto"/>
            <w:tcMar>
              <w:top w:w="15" w:type="dxa"/>
              <w:left w:w="15" w:type="dxa"/>
              <w:right w:w="15" w:type="dxa"/>
            </w:tcMar>
            <w:vAlign w:val="center"/>
          </w:tcPr>
          <w:p w14:paraId="7209959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heme="minorEastAsia" w:hAnsiTheme="minorEastAsia" w:eastAsiaTheme="minorEastAsia" w:cstheme="minorEastAsia"/>
                <w:b w:val="0"/>
                <w:bCs w:val="0"/>
                <w:color w:val="auto"/>
                <w:sz w:val="21"/>
                <w:szCs w:val="21"/>
              </w:rPr>
            </w:pPr>
          </w:p>
        </w:tc>
        <w:tc>
          <w:tcPr>
            <w:tcW w:w="1805" w:type="dxa"/>
            <w:tcBorders>
              <w:tl2br w:val="nil"/>
              <w:tr2bl w:val="nil"/>
            </w:tcBorders>
            <w:shd w:val="clear" w:color="auto" w:fill="auto"/>
            <w:tcMar>
              <w:top w:w="15" w:type="dxa"/>
              <w:left w:w="15" w:type="dxa"/>
              <w:right w:w="15" w:type="dxa"/>
            </w:tcMar>
            <w:vAlign w:val="center"/>
          </w:tcPr>
          <w:p w14:paraId="438DE9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档案开放系统技术服务</w:t>
            </w:r>
          </w:p>
        </w:tc>
        <w:tc>
          <w:tcPr>
            <w:tcW w:w="3567" w:type="dxa"/>
            <w:tcBorders>
              <w:tl2br w:val="nil"/>
              <w:tr2bl w:val="nil"/>
            </w:tcBorders>
            <w:shd w:val="clear" w:color="auto" w:fill="auto"/>
            <w:tcMar>
              <w:top w:w="15" w:type="dxa"/>
              <w:left w:w="15" w:type="dxa"/>
              <w:right w:w="15" w:type="dxa"/>
            </w:tcMar>
            <w:vAlign w:val="center"/>
          </w:tcPr>
          <w:p w14:paraId="560DE2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对接微信公众号窗口访问健康体检报告</w:t>
            </w:r>
          </w:p>
        </w:tc>
        <w:tc>
          <w:tcPr>
            <w:tcW w:w="767" w:type="dxa"/>
            <w:tcBorders>
              <w:tl2br w:val="nil"/>
              <w:tr2bl w:val="nil"/>
            </w:tcBorders>
            <w:shd w:val="clear" w:color="auto" w:fill="auto"/>
            <w:tcMar>
              <w:top w:w="15" w:type="dxa"/>
              <w:left w:w="15" w:type="dxa"/>
              <w:right w:w="15" w:type="dxa"/>
            </w:tcMar>
            <w:vAlign w:val="center"/>
          </w:tcPr>
          <w:p w14:paraId="2C3551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套</w:t>
            </w:r>
          </w:p>
        </w:tc>
        <w:tc>
          <w:tcPr>
            <w:tcW w:w="700" w:type="dxa"/>
            <w:tcBorders>
              <w:tl2br w:val="nil"/>
              <w:tr2bl w:val="nil"/>
            </w:tcBorders>
            <w:shd w:val="clear" w:color="auto" w:fill="auto"/>
            <w:tcMar>
              <w:top w:w="15" w:type="dxa"/>
              <w:left w:w="15" w:type="dxa"/>
              <w:right w:w="15" w:type="dxa"/>
            </w:tcMar>
            <w:vAlign w:val="center"/>
          </w:tcPr>
          <w:p w14:paraId="2E3383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1</w:t>
            </w:r>
          </w:p>
        </w:tc>
        <w:tc>
          <w:tcPr>
            <w:tcW w:w="885" w:type="dxa"/>
            <w:vMerge w:val="continue"/>
            <w:tcBorders>
              <w:tl2br w:val="nil"/>
              <w:tr2bl w:val="nil"/>
            </w:tcBorders>
            <w:shd w:val="clear" w:color="auto" w:fill="auto"/>
            <w:tcMar>
              <w:top w:w="15" w:type="dxa"/>
              <w:left w:w="15" w:type="dxa"/>
              <w:right w:w="15" w:type="dxa"/>
            </w:tcMar>
            <w:vAlign w:val="center"/>
          </w:tcPr>
          <w:p w14:paraId="6AD0F38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heme="minorEastAsia" w:hAnsiTheme="minorEastAsia" w:eastAsiaTheme="minorEastAsia" w:cstheme="minorEastAsia"/>
                <w:b w:val="0"/>
                <w:bCs w:val="0"/>
                <w:color w:val="auto"/>
                <w:sz w:val="21"/>
                <w:szCs w:val="21"/>
              </w:rPr>
            </w:pPr>
          </w:p>
        </w:tc>
      </w:tr>
    </w:tbl>
    <w:p w14:paraId="14EF72C0">
      <w:pPr>
        <w:pStyle w:val="12"/>
        <w:numPr>
          <w:ilvl w:val="0"/>
          <w:numId w:val="1"/>
        </w:numPr>
        <w:rPr>
          <w:rFonts w:hint="eastAsia"/>
          <w:color w:val="auto"/>
          <w:lang w:val="en-US" w:eastAsia="zh-CN"/>
        </w:rPr>
      </w:pPr>
      <w:r>
        <w:rPr>
          <w:rFonts w:hint="eastAsia"/>
          <w:color w:val="auto"/>
          <w:lang w:val="en-US" w:eastAsia="zh-CN"/>
        </w:rPr>
        <w:t>维护服务工作需求</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6"/>
        <w:gridCol w:w="6330"/>
        <w:gridCol w:w="1330"/>
      </w:tblGrid>
      <w:tr w14:paraId="6E0F2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Pr>
          <w:p w14:paraId="5E1E3E47">
            <w:pPr>
              <w:numPr>
                <w:ilvl w:val="0"/>
                <w:numId w:val="0"/>
              </w:numPr>
              <w:spacing w:line="24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6330" w:type="dxa"/>
          </w:tcPr>
          <w:p w14:paraId="2383BAB2">
            <w:pPr>
              <w:numPr>
                <w:ilvl w:val="0"/>
                <w:numId w:val="0"/>
              </w:numPr>
              <w:spacing w:line="24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服务要求</w:t>
            </w:r>
          </w:p>
        </w:tc>
        <w:tc>
          <w:tcPr>
            <w:tcW w:w="1330" w:type="dxa"/>
          </w:tcPr>
          <w:p w14:paraId="357995B8">
            <w:pPr>
              <w:numPr>
                <w:ilvl w:val="0"/>
                <w:numId w:val="0"/>
              </w:numPr>
              <w:spacing w:line="24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14:paraId="6318D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Pr>
          <w:p w14:paraId="76DB8727">
            <w:pPr>
              <w:numPr>
                <w:ilvl w:val="0"/>
                <w:numId w:val="0"/>
              </w:numPr>
              <w:spacing w:line="240" w:lineRule="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6330" w:type="dxa"/>
          </w:tcPr>
          <w:p w14:paraId="5DA10D58">
            <w:pPr>
              <w:numPr>
                <w:ilvl w:val="0"/>
                <w:numId w:val="0"/>
              </w:numPr>
              <w:spacing w:line="240" w:lineRule="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val="en-US" w:eastAsia="zh-CN"/>
              </w:rPr>
              <w:t>维护服务期内，免费</w:t>
            </w:r>
            <w:r>
              <w:rPr>
                <w:rFonts w:hint="eastAsia" w:ascii="宋体" w:hAnsi="宋体" w:eastAsia="宋体" w:cs="宋体"/>
                <w:color w:val="auto"/>
                <w:sz w:val="24"/>
                <w:szCs w:val="24"/>
              </w:rPr>
              <w:t>提供匹配公卫重点人群体检的相关设备对接服务。</w:t>
            </w:r>
          </w:p>
        </w:tc>
        <w:tc>
          <w:tcPr>
            <w:tcW w:w="1330" w:type="dxa"/>
          </w:tcPr>
          <w:p w14:paraId="4409A736">
            <w:pPr>
              <w:numPr>
                <w:ilvl w:val="0"/>
                <w:numId w:val="0"/>
              </w:numPr>
              <w:spacing w:line="240" w:lineRule="auto"/>
              <w:rPr>
                <w:rFonts w:hint="eastAsia" w:ascii="宋体" w:hAnsi="宋体" w:eastAsia="宋体" w:cs="宋体"/>
                <w:color w:val="auto"/>
                <w:sz w:val="24"/>
                <w:szCs w:val="24"/>
                <w:vertAlign w:val="baseline"/>
                <w:lang w:val="en-US" w:eastAsia="zh-CN"/>
              </w:rPr>
            </w:pPr>
          </w:p>
        </w:tc>
      </w:tr>
      <w:tr w14:paraId="1425D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Pr>
          <w:p w14:paraId="296BB0BF">
            <w:pPr>
              <w:numPr>
                <w:ilvl w:val="0"/>
                <w:numId w:val="0"/>
              </w:numPr>
              <w:spacing w:line="240" w:lineRule="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6330" w:type="dxa"/>
          </w:tcPr>
          <w:p w14:paraId="57501AF9">
            <w:pPr>
              <w:numPr>
                <w:ilvl w:val="0"/>
                <w:numId w:val="0"/>
              </w:numPr>
              <w:spacing w:line="240" w:lineRule="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val="en-US" w:eastAsia="zh-CN"/>
              </w:rPr>
              <w:t>维护服务期内，免费</w:t>
            </w:r>
            <w:r>
              <w:rPr>
                <w:rFonts w:hint="eastAsia" w:ascii="宋体" w:hAnsi="宋体" w:eastAsia="宋体" w:cs="宋体"/>
                <w:color w:val="auto"/>
                <w:sz w:val="24"/>
                <w:szCs w:val="24"/>
              </w:rPr>
              <w:t>提供对接四川省健康档案云平台对接服务。</w:t>
            </w:r>
          </w:p>
        </w:tc>
        <w:tc>
          <w:tcPr>
            <w:tcW w:w="1330" w:type="dxa"/>
          </w:tcPr>
          <w:p w14:paraId="500E50DC">
            <w:pPr>
              <w:numPr>
                <w:ilvl w:val="0"/>
                <w:numId w:val="0"/>
              </w:numPr>
              <w:spacing w:line="240" w:lineRule="auto"/>
              <w:rPr>
                <w:rFonts w:hint="eastAsia" w:ascii="宋体" w:hAnsi="宋体" w:eastAsia="宋体" w:cs="宋体"/>
                <w:color w:val="auto"/>
                <w:sz w:val="24"/>
                <w:szCs w:val="24"/>
                <w:vertAlign w:val="baseline"/>
                <w:lang w:val="en-US" w:eastAsia="zh-CN"/>
              </w:rPr>
            </w:pPr>
          </w:p>
        </w:tc>
      </w:tr>
      <w:tr w14:paraId="41D6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Pr>
          <w:p w14:paraId="69794753">
            <w:pPr>
              <w:numPr>
                <w:ilvl w:val="0"/>
                <w:numId w:val="0"/>
              </w:numPr>
              <w:spacing w:line="240" w:lineRule="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w:t>
            </w:r>
          </w:p>
        </w:tc>
        <w:tc>
          <w:tcPr>
            <w:tcW w:w="6330" w:type="dxa"/>
          </w:tcPr>
          <w:p w14:paraId="312402A0">
            <w:pPr>
              <w:pStyle w:val="4"/>
              <w:keepNext w:val="0"/>
              <w:keepLines w:val="0"/>
              <w:pageBreakBefore w:val="0"/>
              <w:numPr>
                <w:ilvl w:val="0"/>
                <w:numId w:val="0"/>
              </w:numPr>
              <w:kinsoku/>
              <w:wordWrap/>
              <w:overflowPunct/>
              <w:topLinePunct w:val="0"/>
              <w:autoSpaceDE/>
              <w:autoSpaceDN/>
              <w:bidi w:val="0"/>
              <w:adjustRightInd w:val="0"/>
              <w:snapToGrid w:val="0"/>
              <w:spacing w:before="0" w:after="0" w:afterLines="0" w:line="240" w:lineRule="auto"/>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val="en-US" w:eastAsia="zh-CN"/>
              </w:rPr>
              <w:t>维护服务期内，免费</w:t>
            </w:r>
            <w:r>
              <w:rPr>
                <w:rFonts w:hint="eastAsia" w:ascii="宋体" w:hAnsi="宋体" w:eastAsia="宋体" w:cs="宋体"/>
                <w:color w:val="auto"/>
                <w:sz w:val="24"/>
                <w:szCs w:val="24"/>
              </w:rPr>
              <w:t>提供开展公卫健康体检前的售前、售后技术支持和服务。</w:t>
            </w:r>
          </w:p>
        </w:tc>
        <w:tc>
          <w:tcPr>
            <w:tcW w:w="1330" w:type="dxa"/>
          </w:tcPr>
          <w:p w14:paraId="72E61AA3">
            <w:pPr>
              <w:numPr>
                <w:ilvl w:val="0"/>
                <w:numId w:val="0"/>
              </w:numPr>
              <w:spacing w:line="240" w:lineRule="auto"/>
              <w:rPr>
                <w:rFonts w:hint="eastAsia" w:ascii="宋体" w:hAnsi="宋体" w:eastAsia="宋体" w:cs="宋体"/>
                <w:color w:val="auto"/>
                <w:sz w:val="24"/>
                <w:szCs w:val="24"/>
                <w:vertAlign w:val="baseline"/>
                <w:lang w:val="en-US" w:eastAsia="zh-CN"/>
              </w:rPr>
            </w:pPr>
          </w:p>
        </w:tc>
      </w:tr>
      <w:tr w14:paraId="5537B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Pr>
          <w:p w14:paraId="22592275">
            <w:pPr>
              <w:numPr>
                <w:ilvl w:val="0"/>
                <w:numId w:val="0"/>
              </w:numPr>
              <w:spacing w:line="240" w:lineRule="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6330" w:type="dxa"/>
          </w:tcPr>
          <w:p w14:paraId="2199487D">
            <w:pPr>
              <w:pStyle w:val="4"/>
              <w:keepNext w:val="0"/>
              <w:keepLines w:val="0"/>
              <w:pageBreakBefore w:val="0"/>
              <w:numPr>
                <w:ilvl w:val="0"/>
                <w:numId w:val="0"/>
              </w:numPr>
              <w:kinsoku/>
              <w:wordWrap/>
              <w:overflowPunct/>
              <w:topLinePunct w:val="0"/>
              <w:autoSpaceDE/>
              <w:autoSpaceDN/>
              <w:bidi w:val="0"/>
              <w:adjustRightInd w:val="0"/>
              <w:snapToGrid w:val="0"/>
              <w:spacing w:before="0" w:after="0" w:afterLines="0" w:line="240" w:lineRule="auto"/>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val="en-US" w:eastAsia="zh-CN"/>
              </w:rPr>
              <w:t>维护服务期内，免费</w:t>
            </w:r>
            <w:r>
              <w:rPr>
                <w:rFonts w:hint="eastAsia" w:ascii="宋体" w:hAnsi="宋体" w:eastAsia="宋体" w:cs="宋体"/>
                <w:color w:val="auto"/>
                <w:sz w:val="24"/>
                <w:szCs w:val="24"/>
              </w:rPr>
              <w:t>提供对接第三方</w:t>
            </w:r>
            <w:r>
              <w:rPr>
                <w:rFonts w:hint="eastAsia" w:ascii="宋体" w:hAnsi="宋体" w:eastAsia="宋体" w:cs="宋体"/>
                <w:color w:val="auto"/>
                <w:sz w:val="24"/>
                <w:szCs w:val="24"/>
                <w:lang w:val="en-US" w:eastAsia="zh-CN"/>
              </w:rPr>
              <w:t>检验、</w:t>
            </w:r>
            <w:r>
              <w:rPr>
                <w:rFonts w:hint="eastAsia" w:ascii="宋体" w:hAnsi="宋体" w:eastAsia="宋体" w:cs="宋体"/>
                <w:color w:val="auto"/>
                <w:sz w:val="24"/>
                <w:szCs w:val="24"/>
              </w:rPr>
              <w:t>检验数据</w:t>
            </w:r>
            <w:r>
              <w:rPr>
                <w:rFonts w:hint="eastAsia" w:ascii="宋体" w:hAnsi="宋体" w:eastAsia="宋体" w:cs="宋体"/>
                <w:color w:val="auto"/>
                <w:sz w:val="24"/>
                <w:szCs w:val="24"/>
                <w:lang w:val="en-US" w:eastAsia="zh-CN"/>
              </w:rPr>
              <w:t>及其他服务</w:t>
            </w:r>
            <w:r>
              <w:rPr>
                <w:rFonts w:hint="eastAsia" w:ascii="宋体" w:hAnsi="宋体" w:eastAsia="宋体" w:cs="宋体"/>
                <w:color w:val="auto"/>
                <w:sz w:val="24"/>
                <w:szCs w:val="24"/>
              </w:rPr>
              <w:t>的接口技术服务。</w:t>
            </w:r>
            <w:r>
              <w:rPr>
                <w:rFonts w:hint="eastAsia" w:ascii="宋体" w:hAnsi="宋体" w:eastAsia="宋体" w:cs="宋体"/>
                <w:color w:val="auto"/>
                <w:sz w:val="24"/>
                <w:szCs w:val="24"/>
                <w:lang w:val="en-US" w:eastAsia="zh-CN"/>
              </w:rPr>
              <w:t>（不含第三方数据平台收取的对接服务费）</w:t>
            </w:r>
          </w:p>
        </w:tc>
        <w:tc>
          <w:tcPr>
            <w:tcW w:w="1330" w:type="dxa"/>
          </w:tcPr>
          <w:p w14:paraId="22224023">
            <w:pPr>
              <w:numPr>
                <w:ilvl w:val="0"/>
                <w:numId w:val="0"/>
              </w:numPr>
              <w:spacing w:line="240" w:lineRule="auto"/>
              <w:rPr>
                <w:rFonts w:hint="eastAsia" w:ascii="宋体" w:hAnsi="宋体" w:eastAsia="宋体" w:cs="宋体"/>
                <w:color w:val="auto"/>
                <w:sz w:val="24"/>
                <w:szCs w:val="24"/>
                <w:vertAlign w:val="baseline"/>
                <w:lang w:val="en-US" w:eastAsia="zh-CN"/>
              </w:rPr>
            </w:pPr>
          </w:p>
        </w:tc>
      </w:tr>
      <w:tr w14:paraId="3C2B3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Pr>
          <w:p w14:paraId="00A5B967">
            <w:pPr>
              <w:numPr>
                <w:ilvl w:val="0"/>
                <w:numId w:val="0"/>
              </w:numPr>
              <w:spacing w:line="240" w:lineRule="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w:t>
            </w:r>
          </w:p>
        </w:tc>
        <w:tc>
          <w:tcPr>
            <w:tcW w:w="6330" w:type="dxa"/>
          </w:tcPr>
          <w:p w14:paraId="460F8740">
            <w:pPr>
              <w:pStyle w:val="4"/>
              <w:keepNext w:val="0"/>
              <w:keepLines w:val="0"/>
              <w:pageBreakBefore w:val="0"/>
              <w:numPr>
                <w:ilvl w:val="0"/>
                <w:numId w:val="0"/>
              </w:numPr>
              <w:kinsoku/>
              <w:wordWrap/>
              <w:overflowPunct/>
              <w:topLinePunct w:val="0"/>
              <w:autoSpaceDE/>
              <w:autoSpaceDN/>
              <w:bidi w:val="0"/>
              <w:adjustRightInd w:val="0"/>
              <w:snapToGrid w:val="0"/>
              <w:spacing w:before="0" w:after="0" w:afterLines="0"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维护服务期内，根据甲方工作需求，在现有技术允许范围内，免费提供定制化体检报告模版的调整、功能模块的优化等服务（未在国家基本公共卫生服务项目内新增加内容、定制化服务除外）</w:t>
            </w:r>
          </w:p>
        </w:tc>
        <w:tc>
          <w:tcPr>
            <w:tcW w:w="1330" w:type="dxa"/>
          </w:tcPr>
          <w:p w14:paraId="1DB0D522">
            <w:pPr>
              <w:numPr>
                <w:ilvl w:val="0"/>
                <w:numId w:val="0"/>
              </w:numPr>
              <w:spacing w:line="240" w:lineRule="auto"/>
              <w:rPr>
                <w:rFonts w:hint="eastAsia" w:ascii="宋体" w:hAnsi="宋体" w:eastAsia="宋体" w:cs="宋体"/>
                <w:color w:val="auto"/>
                <w:sz w:val="24"/>
                <w:szCs w:val="24"/>
                <w:vertAlign w:val="baseline"/>
                <w:lang w:val="en-US" w:eastAsia="zh-CN"/>
              </w:rPr>
            </w:pPr>
          </w:p>
        </w:tc>
      </w:tr>
      <w:tr w14:paraId="3DCAA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Pr>
          <w:p w14:paraId="21E98421">
            <w:pPr>
              <w:numPr>
                <w:ilvl w:val="0"/>
                <w:numId w:val="0"/>
              </w:numPr>
              <w:spacing w:line="240" w:lineRule="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w:t>
            </w:r>
          </w:p>
        </w:tc>
        <w:tc>
          <w:tcPr>
            <w:tcW w:w="6330" w:type="dxa"/>
          </w:tcPr>
          <w:p w14:paraId="03D70505">
            <w:pPr>
              <w:pStyle w:val="4"/>
              <w:keepNext w:val="0"/>
              <w:keepLines w:val="0"/>
              <w:pageBreakBefore w:val="0"/>
              <w:numPr>
                <w:ilvl w:val="0"/>
                <w:numId w:val="0"/>
              </w:numPr>
              <w:kinsoku/>
              <w:wordWrap/>
              <w:overflowPunct/>
              <w:topLinePunct w:val="0"/>
              <w:autoSpaceDE/>
              <w:autoSpaceDN/>
              <w:bidi w:val="0"/>
              <w:adjustRightInd w:val="0"/>
              <w:snapToGrid w:val="0"/>
              <w:spacing w:before="0" w:after="0" w:afterLines="0"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维护服务期内，根据国家基本公共卫生服务项目的最新工作要求，对软件内容免费升级。</w:t>
            </w:r>
          </w:p>
        </w:tc>
        <w:tc>
          <w:tcPr>
            <w:tcW w:w="1330" w:type="dxa"/>
          </w:tcPr>
          <w:p w14:paraId="382F7632">
            <w:pPr>
              <w:numPr>
                <w:ilvl w:val="0"/>
                <w:numId w:val="0"/>
              </w:numPr>
              <w:spacing w:line="240" w:lineRule="auto"/>
              <w:rPr>
                <w:rFonts w:hint="eastAsia" w:ascii="宋体" w:hAnsi="宋体" w:eastAsia="宋体" w:cs="宋体"/>
                <w:color w:val="auto"/>
                <w:sz w:val="24"/>
                <w:szCs w:val="24"/>
                <w:vertAlign w:val="baseline"/>
                <w:lang w:val="en-US" w:eastAsia="zh-CN"/>
              </w:rPr>
            </w:pPr>
          </w:p>
        </w:tc>
      </w:tr>
      <w:tr w14:paraId="02E30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Pr>
          <w:p w14:paraId="722E7BB1">
            <w:pPr>
              <w:numPr>
                <w:ilvl w:val="0"/>
                <w:numId w:val="0"/>
              </w:numPr>
              <w:spacing w:line="240" w:lineRule="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7</w:t>
            </w:r>
          </w:p>
        </w:tc>
        <w:tc>
          <w:tcPr>
            <w:tcW w:w="6330" w:type="dxa"/>
          </w:tcPr>
          <w:p w14:paraId="789326AB">
            <w:pPr>
              <w:pStyle w:val="4"/>
              <w:keepNext w:val="0"/>
              <w:keepLines w:val="0"/>
              <w:pageBreakBefore w:val="0"/>
              <w:numPr>
                <w:ilvl w:val="0"/>
                <w:numId w:val="0"/>
              </w:numPr>
              <w:kinsoku/>
              <w:wordWrap/>
              <w:overflowPunct/>
              <w:topLinePunct w:val="0"/>
              <w:autoSpaceDE/>
              <w:autoSpaceDN/>
              <w:bidi w:val="0"/>
              <w:adjustRightInd w:val="0"/>
              <w:snapToGrid w:val="0"/>
              <w:spacing w:before="0" w:after="0" w:afterLines="0"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维护服务期内，免费提供对接第三方系统平台接口的服务。（不含第三方系统平台收取的对接服务费）</w:t>
            </w:r>
          </w:p>
        </w:tc>
        <w:tc>
          <w:tcPr>
            <w:tcW w:w="1330" w:type="dxa"/>
          </w:tcPr>
          <w:p w14:paraId="242C5A50">
            <w:pPr>
              <w:numPr>
                <w:ilvl w:val="0"/>
                <w:numId w:val="0"/>
              </w:numPr>
              <w:spacing w:line="240" w:lineRule="auto"/>
              <w:rPr>
                <w:rFonts w:hint="eastAsia" w:ascii="宋体" w:hAnsi="宋体" w:eastAsia="宋体" w:cs="宋体"/>
                <w:color w:val="auto"/>
                <w:sz w:val="24"/>
                <w:szCs w:val="24"/>
                <w:vertAlign w:val="baseline"/>
                <w:lang w:val="en-US" w:eastAsia="zh-CN"/>
              </w:rPr>
            </w:pPr>
          </w:p>
        </w:tc>
      </w:tr>
    </w:tbl>
    <w:p w14:paraId="1B678EE9">
      <w:pPr>
        <w:numPr>
          <w:ilvl w:val="0"/>
          <w:numId w:val="0"/>
        </w:numPr>
        <w:rPr>
          <w:rFonts w:hint="default"/>
          <w:lang w:val="en-US" w:eastAsia="zh-CN"/>
        </w:rPr>
      </w:pPr>
    </w:p>
    <w:p w14:paraId="761921F6">
      <w:pPr>
        <w:pStyle w:val="2"/>
        <w:numPr>
          <w:ilvl w:val="0"/>
          <w:numId w:val="0"/>
        </w:numPr>
        <w:topLinePunct w:val="0"/>
        <w:ind w:leftChars="0"/>
        <w:rPr>
          <w:rFonts w:hint="eastAsia" w:ascii="黑体" w:hAnsi="黑体" w:eastAsia="黑体" w:cs="黑体"/>
          <w:b w:val="0"/>
          <w:color w:val="auto"/>
        </w:rPr>
      </w:pPr>
      <w:r>
        <w:rPr>
          <w:rFonts w:hint="eastAsia"/>
          <w:color w:val="auto"/>
          <w:lang w:val="en-US" w:eastAsia="zh-CN"/>
        </w:rPr>
        <w:t>（四）最高限价</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2235"/>
        <w:gridCol w:w="2238"/>
        <w:gridCol w:w="2238"/>
      </w:tblGrid>
      <w:tr w14:paraId="3021E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249" w:type="pct"/>
          </w:tcPr>
          <w:p w14:paraId="7B6DB875">
            <w:pPr>
              <w:pStyle w:val="12"/>
              <w:numPr>
                <w:ilvl w:val="0"/>
                <w:numId w:val="0"/>
              </w:numPr>
              <w:jc w:val="both"/>
              <w:rPr>
                <w:rFonts w:hint="eastAsia" w:asciiTheme="minorEastAsia" w:hAnsiTheme="minorEastAsia" w:eastAsiaTheme="minorEastAsia" w:cstheme="minorEastAsia"/>
                <w:color w:val="auto"/>
                <w:vertAlign w:val="baseline"/>
                <w:lang w:val="en-US" w:eastAsia="zh-CN"/>
              </w:rPr>
            </w:pPr>
            <w:r>
              <w:rPr>
                <w:rFonts w:hint="eastAsia" w:asciiTheme="minorEastAsia" w:hAnsiTheme="minorEastAsia" w:eastAsiaTheme="minorEastAsia" w:cstheme="minorEastAsia"/>
                <w:color w:val="auto"/>
                <w:vertAlign w:val="baseline"/>
                <w:lang w:val="en-US" w:eastAsia="zh-CN"/>
              </w:rPr>
              <w:t>项目名称</w:t>
            </w:r>
          </w:p>
        </w:tc>
        <w:tc>
          <w:tcPr>
            <w:tcW w:w="1249" w:type="pct"/>
          </w:tcPr>
          <w:p w14:paraId="32453A55">
            <w:pPr>
              <w:pStyle w:val="12"/>
              <w:numPr>
                <w:ilvl w:val="0"/>
                <w:numId w:val="0"/>
              </w:numPr>
              <w:jc w:val="both"/>
              <w:rPr>
                <w:rFonts w:hint="eastAsia" w:asciiTheme="minorEastAsia" w:hAnsiTheme="minorEastAsia" w:eastAsiaTheme="minorEastAsia" w:cstheme="minorEastAsia"/>
                <w:color w:val="auto"/>
                <w:vertAlign w:val="baseline"/>
                <w:lang w:val="en-US" w:eastAsia="zh-CN"/>
              </w:rPr>
            </w:pPr>
            <w:r>
              <w:rPr>
                <w:rFonts w:hint="eastAsia" w:asciiTheme="minorEastAsia" w:hAnsiTheme="minorEastAsia" w:eastAsiaTheme="minorEastAsia" w:cstheme="minorEastAsia"/>
                <w:color w:val="auto"/>
                <w:vertAlign w:val="baseline"/>
                <w:lang w:val="en-US" w:eastAsia="zh-CN"/>
              </w:rPr>
              <w:t>软件系统报价（元/套）</w:t>
            </w:r>
          </w:p>
        </w:tc>
        <w:tc>
          <w:tcPr>
            <w:tcW w:w="1250" w:type="pct"/>
          </w:tcPr>
          <w:p w14:paraId="7B46F438">
            <w:pPr>
              <w:pStyle w:val="12"/>
              <w:numPr>
                <w:ilvl w:val="0"/>
                <w:numId w:val="0"/>
              </w:numPr>
              <w:jc w:val="both"/>
              <w:rPr>
                <w:rFonts w:hint="eastAsia" w:asciiTheme="minorEastAsia" w:hAnsiTheme="minorEastAsia" w:eastAsiaTheme="minorEastAsia" w:cstheme="minorEastAsia"/>
                <w:color w:val="auto"/>
                <w:vertAlign w:val="baseline"/>
                <w:lang w:val="en-US" w:eastAsia="zh-CN"/>
              </w:rPr>
            </w:pPr>
            <w:r>
              <w:rPr>
                <w:rFonts w:hint="eastAsia" w:asciiTheme="minorEastAsia" w:hAnsiTheme="minorEastAsia" w:eastAsiaTheme="minorEastAsia" w:cstheme="minorEastAsia"/>
                <w:color w:val="auto"/>
                <w:vertAlign w:val="baseline"/>
                <w:lang w:val="en-US" w:eastAsia="zh-CN"/>
              </w:rPr>
              <w:t>服务费（元/年）</w:t>
            </w:r>
          </w:p>
        </w:tc>
        <w:tc>
          <w:tcPr>
            <w:tcW w:w="1250" w:type="pct"/>
          </w:tcPr>
          <w:p w14:paraId="65F4DEAE">
            <w:pPr>
              <w:pStyle w:val="12"/>
              <w:numPr>
                <w:ilvl w:val="0"/>
                <w:numId w:val="0"/>
              </w:numPr>
              <w:jc w:val="both"/>
              <w:rPr>
                <w:rFonts w:hint="eastAsia" w:asciiTheme="minorEastAsia" w:hAnsiTheme="minorEastAsia" w:eastAsiaTheme="minorEastAsia" w:cstheme="minorEastAsia"/>
                <w:color w:val="auto"/>
                <w:vertAlign w:val="baseline"/>
                <w:lang w:val="en-US" w:eastAsia="zh-CN"/>
              </w:rPr>
            </w:pPr>
            <w:r>
              <w:rPr>
                <w:rFonts w:hint="eastAsia" w:asciiTheme="minorEastAsia" w:hAnsiTheme="minorEastAsia" w:eastAsiaTheme="minorEastAsia" w:cstheme="minorEastAsia"/>
                <w:color w:val="auto"/>
                <w:vertAlign w:val="baseline"/>
                <w:lang w:val="en-US" w:eastAsia="zh-CN"/>
              </w:rPr>
              <w:t>备注</w:t>
            </w:r>
          </w:p>
        </w:tc>
      </w:tr>
      <w:tr w14:paraId="4C10E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249" w:type="pct"/>
          </w:tcPr>
          <w:p w14:paraId="72993DE7">
            <w:pPr>
              <w:pStyle w:val="12"/>
              <w:numPr>
                <w:ilvl w:val="0"/>
                <w:numId w:val="0"/>
              </w:numPr>
              <w:jc w:val="both"/>
              <w:rPr>
                <w:rFonts w:hint="eastAsia" w:asciiTheme="minorEastAsia" w:hAnsiTheme="minorEastAsia" w:eastAsiaTheme="minorEastAsia" w:cstheme="minorEastAsia"/>
                <w:color w:val="auto"/>
                <w:vertAlign w:val="baseline"/>
                <w:lang w:val="en-US" w:eastAsia="zh-CN"/>
              </w:rPr>
            </w:pPr>
            <w:r>
              <w:rPr>
                <w:rFonts w:hint="eastAsia" w:asciiTheme="minorEastAsia" w:hAnsiTheme="minorEastAsia" w:eastAsiaTheme="minorEastAsia" w:cstheme="minorEastAsia"/>
                <w:color w:val="auto"/>
                <w:vertAlign w:val="baseline"/>
                <w:lang w:val="en-US" w:eastAsia="zh-CN"/>
              </w:rPr>
              <w:t>公卫重点人群智能管理系统</w:t>
            </w:r>
          </w:p>
        </w:tc>
        <w:tc>
          <w:tcPr>
            <w:tcW w:w="1249" w:type="pct"/>
          </w:tcPr>
          <w:p w14:paraId="6F9751EB">
            <w:pPr>
              <w:pStyle w:val="12"/>
              <w:numPr>
                <w:ilvl w:val="0"/>
                <w:numId w:val="0"/>
              </w:numPr>
              <w:jc w:val="both"/>
              <w:rPr>
                <w:rFonts w:hint="default" w:asciiTheme="minorEastAsia" w:hAnsiTheme="minorEastAsia" w:eastAsiaTheme="minorEastAsia" w:cstheme="minorEastAsia"/>
                <w:color w:val="auto"/>
                <w:vertAlign w:val="baseline"/>
                <w:lang w:val="en-US" w:eastAsia="zh-CN"/>
              </w:rPr>
            </w:pPr>
            <w:r>
              <w:rPr>
                <w:rFonts w:hint="eastAsia" w:asciiTheme="minorEastAsia" w:hAnsiTheme="minorEastAsia" w:eastAsiaTheme="minorEastAsia" w:cstheme="minorEastAsia"/>
                <w:color w:val="auto"/>
                <w:vertAlign w:val="baseline"/>
                <w:lang w:val="en-US" w:eastAsia="zh-CN"/>
              </w:rPr>
              <w:t>90000元/套</w:t>
            </w:r>
          </w:p>
        </w:tc>
        <w:tc>
          <w:tcPr>
            <w:tcW w:w="1250" w:type="pct"/>
          </w:tcPr>
          <w:p w14:paraId="4AFC9559">
            <w:pPr>
              <w:pStyle w:val="12"/>
              <w:numPr>
                <w:ilvl w:val="0"/>
                <w:numId w:val="0"/>
              </w:numPr>
              <w:jc w:val="both"/>
              <w:rPr>
                <w:rFonts w:hint="default" w:asciiTheme="minorEastAsia" w:hAnsiTheme="minorEastAsia" w:eastAsiaTheme="minorEastAsia" w:cstheme="minorEastAsia"/>
                <w:color w:val="auto"/>
                <w:vertAlign w:val="baseline"/>
                <w:lang w:val="en-US" w:eastAsia="zh-CN"/>
              </w:rPr>
            </w:pPr>
            <w:r>
              <w:rPr>
                <w:rFonts w:hint="eastAsia" w:asciiTheme="minorEastAsia" w:hAnsiTheme="minorEastAsia" w:eastAsiaTheme="minorEastAsia" w:cstheme="minorEastAsia"/>
                <w:color w:val="auto"/>
                <w:vertAlign w:val="baseline"/>
                <w:lang w:val="en-US" w:eastAsia="zh-CN"/>
              </w:rPr>
              <w:t>15000元/年</w:t>
            </w:r>
          </w:p>
        </w:tc>
        <w:tc>
          <w:tcPr>
            <w:tcW w:w="1250" w:type="pct"/>
          </w:tcPr>
          <w:p w14:paraId="5A9D47B7">
            <w:pPr>
              <w:pStyle w:val="12"/>
              <w:numPr>
                <w:ilvl w:val="0"/>
                <w:numId w:val="0"/>
              </w:numPr>
              <w:jc w:val="both"/>
              <w:rPr>
                <w:rFonts w:hint="default" w:asciiTheme="minorEastAsia" w:hAnsiTheme="minorEastAsia" w:eastAsiaTheme="minorEastAsia" w:cstheme="minorEastAsia"/>
                <w:color w:val="auto"/>
                <w:vertAlign w:val="baseline"/>
                <w:lang w:val="en-US" w:eastAsia="zh-CN"/>
              </w:rPr>
            </w:pPr>
            <w:r>
              <w:rPr>
                <w:rFonts w:hint="eastAsia" w:asciiTheme="minorEastAsia" w:hAnsiTheme="minorEastAsia" w:eastAsiaTheme="minorEastAsia" w:cstheme="minorEastAsia"/>
                <w:color w:val="auto"/>
                <w:vertAlign w:val="baseline"/>
                <w:lang w:val="en-US" w:eastAsia="zh-CN"/>
              </w:rPr>
              <w:t>该套公卫重点人群智能管理系统包含院内及院外相互匹配的两组智能管理系统。</w:t>
            </w:r>
          </w:p>
        </w:tc>
      </w:tr>
    </w:tbl>
    <w:p w14:paraId="35D2047B">
      <w:pPr>
        <w:pStyle w:val="12"/>
        <w:numPr>
          <w:ilvl w:val="0"/>
          <w:numId w:val="0"/>
        </w:numPr>
        <w:rPr>
          <w:rFonts w:hint="eastAsia" w:asciiTheme="minorEastAsia" w:hAnsiTheme="minorEastAsia" w:eastAsiaTheme="minorEastAsia" w:cstheme="minorEastAsia"/>
          <w:color w:val="auto"/>
          <w:lang w:val="en-US" w:eastAsia="zh-CN"/>
        </w:rPr>
      </w:pPr>
    </w:p>
    <w:p w14:paraId="4DDA217A">
      <w:pPr>
        <w:pStyle w:val="4"/>
        <w:ind w:left="0" w:leftChars="0" w:firstLine="480" w:firstLineChars="200"/>
        <w:rPr>
          <w:rFonts w:hint="eastAsia" w:eastAsia="宋体"/>
          <w:b w:val="0"/>
          <w:color w:val="auto"/>
          <w:lang w:eastAsia="zh-CN"/>
        </w:rPr>
      </w:pPr>
      <w:r>
        <w:rPr>
          <w:b w:val="0"/>
          <w:color w:val="auto"/>
        </w:rPr>
        <w:t>备注：1、本地服务器，医院自行准备本地服务器设备</w:t>
      </w:r>
      <w:r>
        <w:rPr>
          <w:rFonts w:hint="eastAsia"/>
          <w:b w:val="0"/>
          <w:color w:val="auto"/>
          <w:lang w:eastAsia="zh-CN"/>
        </w:rPr>
        <w:t>。</w:t>
      </w:r>
    </w:p>
    <w:p w14:paraId="0C9773E1">
      <w:pPr>
        <w:pStyle w:val="4"/>
        <w:topLinePunct w:val="0"/>
        <w:ind w:left="0" w:leftChars="0" w:firstLine="1200" w:firstLineChars="500"/>
        <w:rPr>
          <w:b w:val="0"/>
          <w:color w:val="auto"/>
        </w:rPr>
      </w:pPr>
      <w:r>
        <w:rPr>
          <w:b w:val="0"/>
          <w:color w:val="auto"/>
        </w:rPr>
        <w:t>2、</w:t>
      </w:r>
      <w:r>
        <w:rPr>
          <w:rFonts w:hint="eastAsia"/>
          <w:b w:val="0"/>
          <w:color w:val="auto"/>
          <w:lang w:val="en-US" w:eastAsia="zh-CN"/>
        </w:rPr>
        <w:t>供应商</w:t>
      </w:r>
      <w:r>
        <w:rPr>
          <w:rFonts w:hint="eastAsia"/>
          <w:b w:val="0"/>
          <w:color w:val="auto"/>
        </w:rPr>
        <w:t>在技术允许范围内，免费</w:t>
      </w:r>
      <w:r>
        <w:rPr>
          <w:rFonts w:hint="eastAsia"/>
          <w:b w:val="0"/>
          <w:color w:val="auto"/>
          <w:lang w:val="en-US" w:eastAsia="zh-CN"/>
        </w:rPr>
        <w:t>提供</w:t>
      </w:r>
      <w:r>
        <w:rPr>
          <w:rFonts w:hint="eastAsia"/>
          <w:b w:val="0"/>
          <w:color w:val="auto"/>
        </w:rPr>
        <w:t>对接LIS系统等第三方系统平台</w:t>
      </w:r>
      <w:r>
        <w:rPr>
          <w:rFonts w:hint="eastAsia"/>
          <w:b w:val="0"/>
          <w:color w:val="auto"/>
          <w:lang w:val="en-US" w:eastAsia="zh-CN"/>
        </w:rPr>
        <w:t>的服务</w:t>
      </w:r>
    </w:p>
    <w:p w14:paraId="73EE2CB2">
      <w:pPr>
        <w:rPr>
          <w:rFonts w:hint="eastAsia"/>
          <w:color w:val="auto"/>
          <w:lang w:eastAsia="zh-CN"/>
        </w:rPr>
      </w:pPr>
    </w:p>
    <w:p w14:paraId="2E4DCA62">
      <w:pPr>
        <w:jc w:val="left"/>
        <w:rPr>
          <w:rFonts w:hint="eastAsia" w:ascii="宋体" w:hAnsi="宋体" w:eastAsia="宋体"/>
          <w:b/>
          <w:color w:val="auto"/>
          <w:szCs w:val="21"/>
        </w:rPr>
      </w:pPr>
      <w:r>
        <w:rPr>
          <w:rFonts w:hint="eastAsia" w:ascii="宋体" w:hAnsi="宋体" w:eastAsia="宋体"/>
          <w:b/>
          <w:color w:val="auto"/>
          <w:szCs w:val="21"/>
        </w:rPr>
        <w:t>第二部分：总体商务、服务要求及合同重要条款</w:t>
      </w:r>
    </w:p>
    <w:tbl>
      <w:tblPr>
        <w:tblStyle w:val="8"/>
        <w:tblpPr w:leftFromText="180" w:rightFromText="180" w:vertAnchor="text" w:horzAnchor="page" w:tblpXSpec="center" w:tblpY="291"/>
        <w:tblOverlap w:val="never"/>
        <w:tblW w:w="9371" w:type="dxa"/>
        <w:jc w:val="center"/>
        <w:tblLayout w:type="fixed"/>
        <w:tblCellMar>
          <w:top w:w="0" w:type="dxa"/>
          <w:left w:w="108" w:type="dxa"/>
          <w:bottom w:w="0" w:type="dxa"/>
          <w:right w:w="108" w:type="dxa"/>
        </w:tblCellMar>
      </w:tblPr>
      <w:tblGrid>
        <w:gridCol w:w="1856"/>
        <w:gridCol w:w="7515"/>
      </w:tblGrid>
      <w:tr w14:paraId="50EA6A01">
        <w:tblPrEx>
          <w:tblCellMar>
            <w:top w:w="0" w:type="dxa"/>
            <w:left w:w="108" w:type="dxa"/>
            <w:bottom w:w="0" w:type="dxa"/>
            <w:right w:w="108" w:type="dxa"/>
          </w:tblCellMar>
        </w:tblPrEx>
        <w:trPr>
          <w:trHeight w:val="993" w:hRule="atLeast"/>
          <w:jc w:val="center"/>
        </w:trPr>
        <w:tc>
          <w:tcPr>
            <w:tcW w:w="1856" w:type="dxa"/>
            <w:tcBorders>
              <w:top w:val="single" w:color="auto" w:sz="4" w:space="0"/>
              <w:left w:val="single" w:color="auto" w:sz="4" w:space="0"/>
              <w:bottom w:val="single" w:color="auto" w:sz="4" w:space="0"/>
              <w:right w:val="single" w:color="auto" w:sz="4" w:space="0"/>
            </w:tcBorders>
            <w:vAlign w:val="center"/>
          </w:tcPr>
          <w:p w14:paraId="04F050E1">
            <w:pPr>
              <w:widowControl/>
              <w:jc w:val="left"/>
              <w:rPr>
                <w:rFonts w:hint="eastAsia" w:ascii="宋体" w:hAnsi="宋体" w:cs="宋体"/>
                <w:color w:val="auto"/>
                <w:kern w:val="0"/>
                <w:szCs w:val="21"/>
              </w:rPr>
            </w:pPr>
            <w:r>
              <w:rPr>
                <w:rFonts w:hint="eastAsia" w:ascii="宋体" w:hAnsi="宋体" w:cs="宋体"/>
                <w:color w:val="auto"/>
                <w:kern w:val="0"/>
                <w:szCs w:val="21"/>
              </w:rPr>
              <w:t>1.验收标准和方法</w:t>
            </w:r>
          </w:p>
        </w:tc>
        <w:tc>
          <w:tcPr>
            <w:tcW w:w="7515" w:type="dxa"/>
            <w:tcBorders>
              <w:top w:val="single" w:color="auto" w:sz="4" w:space="0"/>
              <w:left w:val="nil"/>
              <w:bottom w:val="single" w:color="auto" w:sz="4" w:space="0"/>
              <w:right w:val="single" w:color="auto" w:sz="4" w:space="0"/>
            </w:tcBorders>
            <w:vAlign w:val="center"/>
          </w:tcPr>
          <w:p w14:paraId="2E00E7FE">
            <w:pPr>
              <w:widowControl/>
              <w:jc w:val="left"/>
              <w:rPr>
                <w:rFonts w:hint="eastAsia" w:ascii="宋体" w:hAnsi="宋体" w:cs="宋体"/>
                <w:color w:val="auto"/>
                <w:kern w:val="0"/>
                <w:szCs w:val="21"/>
              </w:rPr>
            </w:pPr>
            <w:r>
              <w:rPr>
                <w:rFonts w:hint="eastAsia" w:ascii="宋体" w:hAnsi="宋体" w:cs="宋体"/>
                <w:color w:val="auto"/>
                <w:kern w:val="0"/>
                <w:szCs w:val="21"/>
              </w:rPr>
              <w:t>货物抵达中心3日内</w:t>
            </w:r>
            <w:r>
              <w:rPr>
                <w:rFonts w:hint="eastAsia" w:ascii="宋体" w:hAnsi="宋体" w:cs="宋体"/>
                <w:color w:val="auto"/>
                <w:kern w:val="0"/>
                <w:szCs w:val="21"/>
                <w:lang w:val="en-US" w:eastAsia="zh-CN"/>
              </w:rPr>
              <w:t>中标供应商</w:t>
            </w:r>
            <w:r>
              <w:rPr>
                <w:rFonts w:hint="eastAsia" w:ascii="宋体" w:hAnsi="宋体" w:cs="宋体"/>
                <w:color w:val="auto"/>
                <w:kern w:val="0"/>
                <w:szCs w:val="21"/>
              </w:rPr>
              <w:t>应派专业人员到达现场，依据服务内容核实如有短缺、规格质量不符、资料不全等，由</w:t>
            </w:r>
            <w:r>
              <w:rPr>
                <w:rFonts w:hint="eastAsia" w:ascii="宋体" w:hAnsi="宋体" w:cs="宋体"/>
                <w:color w:val="auto"/>
                <w:kern w:val="0"/>
                <w:szCs w:val="21"/>
                <w:lang w:val="en-US" w:eastAsia="zh-CN"/>
              </w:rPr>
              <w:t>中标供应商</w:t>
            </w:r>
            <w:r>
              <w:rPr>
                <w:rFonts w:hint="eastAsia" w:ascii="宋体" w:hAnsi="宋体" w:cs="宋体"/>
                <w:color w:val="auto"/>
                <w:kern w:val="0"/>
                <w:szCs w:val="21"/>
              </w:rPr>
              <w:t>无偿更换、补齐。并承担由此产生的费用。</w:t>
            </w:r>
          </w:p>
        </w:tc>
      </w:tr>
      <w:tr w14:paraId="039883BA">
        <w:tblPrEx>
          <w:tblCellMar>
            <w:top w:w="0" w:type="dxa"/>
            <w:left w:w="108" w:type="dxa"/>
            <w:bottom w:w="0" w:type="dxa"/>
            <w:right w:w="108" w:type="dxa"/>
          </w:tblCellMar>
        </w:tblPrEx>
        <w:trPr>
          <w:trHeight w:val="1230" w:hRule="atLeast"/>
          <w:jc w:val="center"/>
        </w:trPr>
        <w:tc>
          <w:tcPr>
            <w:tcW w:w="1856" w:type="dxa"/>
            <w:tcBorders>
              <w:top w:val="nil"/>
              <w:left w:val="single" w:color="auto" w:sz="4" w:space="0"/>
              <w:bottom w:val="single" w:color="auto" w:sz="4" w:space="0"/>
              <w:right w:val="single" w:color="auto" w:sz="4" w:space="0"/>
            </w:tcBorders>
            <w:vAlign w:val="center"/>
          </w:tcPr>
          <w:p w14:paraId="0B73AE90">
            <w:pPr>
              <w:widowControl/>
              <w:jc w:val="left"/>
              <w:rPr>
                <w:rFonts w:hint="eastAsia" w:ascii="宋体" w:hAnsi="宋体" w:cs="宋体"/>
                <w:color w:val="auto"/>
                <w:kern w:val="0"/>
                <w:szCs w:val="21"/>
              </w:rPr>
            </w:pPr>
            <w:r>
              <w:rPr>
                <w:rFonts w:hint="eastAsia" w:ascii="宋体" w:hAnsi="宋体" w:cs="宋体"/>
                <w:color w:val="auto"/>
                <w:kern w:val="0"/>
                <w:szCs w:val="21"/>
              </w:rPr>
              <w:t>2.安装调试及技术服务(含培训)要求</w:t>
            </w:r>
          </w:p>
        </w:tc>
        <w:tc>
          <w:tcPr>
            <w:tcW w:w="7515" w:type="dxa"/>
            <w:tcBorders>
              <w:top w:val="nil"/>
              <w:left w:val="nil"/>
              <w:bottom w:val="single" w:color="auto" w:sz="4" w:space="0"/>
              <w:right w:val="single" w:color="auto" w:sz="4" w:space="0"/>
            </w:tcBorders>
            <w:vAlign w:val="center"/>
          </w:tcPr>
          <w:p w14:paraId="7AE8928A">
            <w:pPr>
              <w:widowControl/>
              <w:jc w:val="left"/>
              <w:rPr>
                <w:rFonts w:hint="eastAsia" w:ascii="宋体" w:hAnsi="宋体" w:cs="宋体"/>
                <w:color w:val="auto"/>
                <w:kern w:val="0"/>
                <w:szCs w:val="21"/>
              </w:rPr>
            </w:pPr>
            <w:r>
              <w:rPr>
                <w:rFonts w:hint="eastAsia" w:ascii="宋体" w:hAnsi="宋体" w:cs="宋体"/>
                <w:color w:val="auto"/>
                <w:kern w:val="0"/>
                <w:szCs w:val="21"/>
                <w:lang w:val="en-US" w:eastAsia="zh-CN"/>
              </w:rPr>
              <w:t>中标供应商</w:t>
            </w:r>
            <w:r>
              <w:rPr>
                <w:rFonts w:hint="eastAsia" w:ascii="宋体" w:hAnsi="宋体" w:cs="宋体"/>
                <w:color w:val="auto"/>
                <w:kern w:val="0"/>
                <w:szCs w:val="21"/>
              </w:rPr>
              <w:t>在货物抵达中心后2日内到达现场组织进行安装、调试，达到正式运行要求，保证中心能正常使用。</w:t>
            </w:r>
            <w:r>
              <w:rPr>
                <w:rFonts w:hint="eastAsia" w:ascii="宋体" w:hAnsi="宋体" w:cs="宋体"/>
                <w:color w:val="auto"/>
                <w:kern w:val="0"/>
                <w:szCs w:val="21"/>
                <w:lang w:val="en-US" w:eastAsia="zh-CN"/>
              </w:rPr>
              <w:t>中标供应商</w:t>
            </w:r>
            <w:r>
              <w:rPr>
                <w:rFonts w:hint="eastAsia" w:ascii="宋体" w:hAnsi="宋体" w:cs="宋体"/>
                <w:color w:val="auto"/>
                <w:kern w:val="0"/>
                <w:szCs w:val="21"/>
              </w:rPr>
              <w:t>对</w:t>
            </w:r>
            <w:r>
              <w:rPr>
                <w:rFonts w:hint="eastAsia" w:ascii="宋体" w:hAnsi="宋体" w:cs="宋体"/>
                <w:color w:val="auto"/>
                <w:kern w:val="0"/>
                <w:szCs w:val="21"/>
                <w:lang w:val="en-US" w:eastAsia="zh-CN"/>
              </w:rPr>
              <w:t>采购方的相关</w:t>
            </w:r>
            <w:r>
              <w:rPr>
                <w:rFonts w:hint="eastAsia" w:ascii="宋体" w:hAnsi="宋体" w:cs="宋体"/>
                <w:color w:val="auto"/>
                <w:kern w:val="0"/>
                <w:szCs w:val="21"/>
              </w:rPr>
              <w:t>操作人员进行免费培训，直到</w:t>
            </w:r>
            <w:r>
              <w:rPr>
                <w:rFonts w:hint="eastAsia" w:ascii="宋体" w:hAnsi="宋体" w:cs="宋体"/>
                <w:color w:val="auto"/>
                <w:kern w:val="0"/>
                <w:szCs w:val="21"/>
                <w:lang w:val="en-US" w:eastAsia="zh-CN"/>
              </w:rPr>
              <w:t>相关操作人员</w:t>
            </w:r>
            <w:r>
              <w:rPr>
                <w:rFonts w:hint="eastAsia" w:ascii="宋体" w:hAnsi="宋体" w:cs="宋体"/>
                <w:color w:val="auto"/>
                <w:kern w:val="0"/>
                <w:szCs w:val="21"/>
              </w:rPr>
              <w:t>能独立熟练操作为止。对</w:t>
            </w:r>
            <w:r>
              <w:rPr>
                <w:rFonts w:hint="eastAsia" w:ascii="宋体" w:hAnsi="宋体" w:cs="宋体"/>
                <w:color w:val="auto"/>
                <w:kern w:val="0"/>
                <w:szCs w:val="21"/>
                <w:lang w:val="en-US" w:eastAsia="zh-CN"/>
              </w:rPr>
              <w:t>采购方</w:t>
            </w:r>
            <w:r>
              <w:rPr>
                <w:rFonts w:hint="eastAsia" w:ascii="宋体" w:hAnsi="宋体" w:cs="宋体"/>
                <w:color w:val="auto"/>
                <w:kern w:val="0"/>
                <w:szCs w:val="21"/>
              </w:rPr>
              <w:t>的维修人员进行常见故障的判断、处理、维修培训。培训人数以</w:t>
            </w:r>
            <w:r>
              <w:rPr>
                <w:rFonts w:hint="eastAsia" w:ascii="宋体" w:hAnsi="宋体" w:cs="宋体"/>
                <w:color w:val="auto"/>
                <w:kern w:val="0"/>
                <w:szCs w:val="21"/>
                <w:lang w:val="en-US" w:eastAsia="zh-CN"/>
              </w:rPr>
              <w:t>采购方</w:t>
            </w:r>
            <w:r>
              <w:rPr>
                <w:rFonts w:hint="eastAsia" w:ascii="宋体" w:hAnsi="宋体" w:cs="宋体"/>
                <w:color w:val="auto"/>
                <w:kern w:val="0"/>
                <w:szCs w:val="21"/>
              </w:rPr>
              <w:t>制定的为准。经</w:t>
            </w:r>
            <w:r>
              <w:rPr>
                <w:rFonts w:hint="eastAsia" w:ascii="宋体" w:hAnsi="宋体" w:cs="宋体"/>
                <w:color w:val="auto"/>
                <w:kern w:val="0"/>
                <w:szCs w:val="21"/>
                <w:lang w:val="en-US" w:eastAsia="zh-CN"/>
              </w:rPr>
              <w:t>采购方</w:t>
            </w:r>
            <w:r>
              <w:rPr>
                <w:rFonts w:hint="eastAsia" w:ascii="宋体" w:hAnsi="宋体" w:cs="宋体"/>
                <w:color w:val="auto"/>
                <w:kern w:val="0"/>
                <w:szCs w:val="21"/>
              </w:rPr>
              <w:t>方正式验收合格后，方可付款。</w:t>
            </w:r>
          </w:p>
        </w:tc>
      </w:tr>
      <w:tr w14:paraId="00681D39">
        <w:tblPrEx>
          <w:tblCellMar>
            <w:top w:w="0" w:type="dxa"/>
            <w:left w:w="108" w:type="dxa"/>
            <w:bottom w:w="0" w:type="dxa"/>
            <w:right w:w="108" w:type="dxa"/>
          </w:tblCellMar>
        </w:tblPrEx>
        <w:trPr>
          <w:trHeight w:val="411" w:hRule="atLeast"/>
          <w:jc w:val="center"/>
        </w:trPr>
        <w:tc>
          <w:tcPr>
            <w:tcW w:w="1856" w:type="dxa"/>
            <w:tcBorders>
              <w:top w:val="nil"/>
              <w:left w:val="single" w:color="auto" w:sz="4" w:space="0"/>
              <w:bottom w:val="single" w:color="auto" w:sz="4" w:space="0"/>
              <w:right w:val="single" w:color="auto" w:sz="4" w:space="0"/>
            </w:tcBorders>
            <w:vAlign w:val="center"/>
          </w:tcPr>
          <w:p w14:paraId="38740035">
            <w:pPr>
              <w:widowControl/>
              <w:jc w:val="left"/>
              <w:rPr>
                <w:rFonts w:hint="eastAsia" w:ascii="宋体" w:hAnsi="宋体" w:cs="宋体"/>
                <w:color w:val="auto"/>
                <w:kern w:val="0"/>
                <w:szCs w:val="21"/>
              </w:rPr>
            </w:pPr>
            <w:r>
              <w:rPr>
                <w:rFonts w:hint="eastAsia" w:ascii="宋体" w:hAnsi="宋体" w:cs="宋体"/>
                <w:color w:val="auto"/>
                <w:kern w:val="0"/>
                <w:szCs w:val="21"/>
              </w:rPr>
              <w:t>3.售后服务的要求</w:t>
            </w:r>
          </w:p>
        </w:tc>
        <w:tc>
          <w:tcPr>
            <w:tcW w:w="7515" w:type="dxa"/>
            <w:tcBorders>
              <w:top w:val="nil"/>
              <w:left w:val="nil"/>
              <w:bottom w:val="single" w:color="auto" w:sz="4" w:space="0"/>
              <w:right w:val="single" w:color="auto" w:sz="4" w:space="0"/>
            </w:tcBorders>
            <w:vAlign w:val="center"/>
          </w:tcPr>
          <w:p w14:paraId="17AA7001">
            <w:pPr>
              <w:pStyle w:val="3"/>
              <w:rPr>
                <w:rFonts w:hint="eastAsia" w:ascii="宋体" w:hAnsi="宋体" w:cs="宋体"/>
                <w:color w:val="auto"/>
                <w:kern w:val="0"/>
                <w:szCs w:val="21"/>
              </w:rPr>
            </w:pPr>
            <w:r>
              <w:rPr>
                <w:rFonts w:hint="eastAsia" w:ascii="宋体" w:hAnsi="宋体" w:cs="宋体"/>
                <w:color w:val="auto"/>
                <w:kern w:val="0"/>
                <w:szCs w:val="21"/>
              </w:rPr>
              <w:t>1.提供售后服务承诺，维修响应时间1小时。</w:t>
            </w:r>
            <w:r>
              <w:rPr>
                <w:rFonts w:hint="eastAsia" w:ascii="宋体" w:hAnsi="宋体" w:cs="宋体"/>
                <w:color w:val="auto"/>
                <w:kern w:val="0"/>
                <w:szCs w:val="21"/>
              </w:rPr>
              <w:br w:type="textWrapping"/>
            </w:r>
            <w:r>
              <w:rPr>
                <w:rFonts w:hint="eastAsia" w:ascii="宋体" w:hAnsi="宋体" w:cs="宋体"/>
                <w:color w:val="auto"/>
                <w:kern w:val="0"/>
                <w:szCs w:val="21"/>
              </w:rPr>
              <w:t>2．投标商应对操作人员进行培训，并保证正常使用。</w:t>
            </w:r>
          </w:p>
        </w:tc>
      </w:tr>
      <w:tr w14:paraId="75BFEFFB">
        <w:tblPrEx>
          <w:tblCellMar>
            <w:top w:w="0" w:type="dxa"/>
            <w:left w:w="108" w:type="dxa"/>
            <w:bottom w:w="0" w:type="dxa"/>
            <w:right w:w="108" w:type="dxa"/>
          </w:tblCellMar>
        </w:tblPrEx>
        <w:trPr>
          <w:trHeight w:val="2913" w:hRule="atLeast"/>
          <w:jc w:val="center"/>
        </w:trPr>
        <w:tc>
          <w:tcPr>
            <w:tcW w:w="1856" w:type="dxa"/>
            <w:tcBorders>
              <w:top w:val="nil"/>
              <w:left w:val="single" w:color="auto" w:sz="4" w:space="0"/>
              <w:bottom w:val="single" w:color="auto" w:sz="4" w:space="0"/>
              <w:right w:val="single" w:color="auto" w:sz="4" w:space="0"/>
            </w:tcBorders>
            <w:vAlign w:val="center"/>
          </w:tcPr>
          <w:p w14:paraId="1A3AA35F">
            <w:pPr>
              <w:widowControl/>
              <w:jc w:val="left"/>
              <w:rPr>
                <w:rFonts w:hint="eastAsia" w:ascii="宋体" w:hAnsi="宋体" w:cs="宋体"/>
                <w:color w:val="auto"/>
                <w:kern w:val="0"/>
                <w:szCs w:val="21"/>
              </w:rPr>
            </w:pPr>
            <w:r>
              <w:rPr>
                <w:rFonts w:hint="eastAsia" w:ascii="宋体" w:hAnsi="宋体" w:cs="宋体"/>
                <w:color w:val="auto"/>
                <w:kern w:val="0"/>
                <w:szCs w:val="21"/>
              </w:rPr>
              <w:t>4.履约要求</w:t>
            </w:r>
          </w:p>
        </w:tc>
        <w:tc>
          <w:tcPr>
            <w:tcW w:w="7515" w:type="dxa"/>
            <w:tcBorders>
              <w:top w:val="nil"/>
              <w:left w:val="nil"/>
              <w:bottom w:val="single" w:color="auto" w:sz="4" w:space="0"/>
              <w:right w:val="single" w:color="auto" w:sz="4" w:space="0"/>
            </w:tcBorders>
            <w:vAlign w:val="center"/>
          </w:tcPr>
          <w:p w14:paraId="0781A7BA">
            <w:pPr>
              <w:pStyle w:val="3"/>
              <w:rPr>
                <w:rFonts w:hint="eastAsia" w:ascii="宋体" w:hAnsi="宋体" w:cs="宋体"/>
                <w:color w:val="auto"/>
                <w:kern w:val="0"/>
                <w:szCs w:val="21"/>
              </w:rPr>
            </w:pPr>
            <w:r>
              <w:rPr>
                <w:rFonts w:hint="eastAsia" w:ascii="宋体" w:hAnsi="宋体" w:cs="宋体"/>
                <w:color w:val="auto"/>
                <w:kern w:val="0"/>
                <w:szCs w:val="21"/>
              </w:rPr>
              <w:t>（一）甲方名称、地址 ：</w:t>
            </w:r>
            <w:r>
              <w:rPr>
                <w:rFonts w:hint="eastAsia" w:ascii="宋体" w:hAnsi="宋体" w:cs="宋体"/>
                <w:bCs/>
                <w:color w:val="auto"/>
                <w:szCs w:val="21"/>
              </w:rPr>
              <w:t>成都市锦江区</w:t>
            </w:r>
            <w:r>
              <w:rPr>
                <w:rFonts w:hint="eastAsia" w:ascii="宋体" w:hAnsi="宋体" w:cs="宋体"/>
                <w:bCs/>
                <w:color w:val="auto"/>
                <w:szCs w:val="21"/>
                <w:lang w:eastAsia="zh-CN"/>
              </w:rPr>
              <w:t>三圣</w:t>
            </w:r>
            <w:r>
              <w:rPr>
                <w:rFonts w:hint="eastAsia" w:ascii="宋体" w:hAnsi="宋体" w:cs="宋体"/>
                <w:bCs/>
                <w:color w:val="auto"/>
                <w:szCs w:val="21"/>
              </w:rPr>
              <w:t>社区卫生服务中心</w:t>
            </w:r>
            <w:r>
              <w:rPr>
                <w:rFonts w:hint="eastAsia" w:ascii="宋体" w:hAnsi="宋体" w:cs="宋体"/>
                <w:color w:val="auto"/>
                <w:kern w:val="0"/>
                <w:szCs w:val="21"/>
              </w:rPr>
              <w:br w:type="textWrapping"/>
            </w:r>
            <w:r>
              <w:rPr>
                <w:rFonts w:hint="eastAsia" w:ascii="宋体" w:hAnsi="宋体" w:cs="宋体"/>
                <w:color w:val="auto"/>
                <w:kern w:val="0"/>
                <w:szCs w:val="21"/>
              </w:rPr>
              <w:t>（二）项目现场：甲方指定的安装地点</w:t>
            </w:r>
            <w:r>
              <w:rPr>
                <w:rFonts w:hint="eastAsia" w:ascii="宋体" w:hAnsi="宋体" w:cs="宋体"/>
                <w:color w:val="auto"/>
                <w:kern w:val="0"/>
                <w:szCs w:val="21"/>
              </w:rPr>
              <w:br w:type="textWrapping"/>
            </w:r>
            <w:r>
              <w:rPr>
                <w:rFonts w:hint="eastAsia" w:ascii="宋体" w:hAnsi="宋体" w:cs="宋体"/>
                <w:color w:val="auto"/>
                <w:kern w:val="0"/>
                <w:szCs w:val="21"/>
              </w:rPr>
              <w:t>（三）履行合同的时间、地点及方式：未按时间交货，甲方有权单方面解除合同。交货期：合同签订后7个工作日安装完成交货。</w:t>
            </w:r>
            <w:r>
              <w:rPr>
                <w:rFonts w:hint="eastAsia" w:ascii="宋体" w:hAnsi="宋体" w:cs="宋体"/>
                <w:color w:val="auto"/>
                <w:kern w:val="0"/>
                <w:szCs w:val="21"/>
              </w:rPr>
              <w:br w:type="textWrapping"/>
            </w:r>
            <w:r>
              <w:rPr>
                <w:rFonts w:hint="eastAsia" w:ascii="宋体" w:hAnsi="宋体" w:cs="宋体"/>
                <w:color w:val="auto"/>
                <w:kern w:val="0"/>
                <w:szCs w:val="21"/>
              </w:rPr>
              <w:t>（四）质量保证期：2年</w:t>
            </w:r>
            <w:r>
              <w:rPr>
                <w:rFonts w:hint="eastAsia" w:ascii="宋体" w:hAnsi="宋体" w:cs="宋体"/>
                <w:color w:val="auto"/>
                <w:kern w:val="0"/>
                <w:szCs w:val="21"/>
              </w:rPr>
              <w:br w:type="textWrapping"/>
            </w:r>
            <w:r>
              <w:rPr>
                <w:rFonts w:hint="eastAsia" w:ascii="宋体" w:hAnsi="宋体" w:cs="宋体"/>
                <w:color w:val="auto"/>
                <w:kern w:val="0"/>
                <w:szCs w:val="21"/>
              </w:rPr>
              <w:t>（五）响应时间：1小时</w:t>
            </w:r>
            <w:r>
              <w:rPr>
                <w:rFonts w:hint="eastAsia" w:ascii="宋体" w:hAnsi="宋体" w:cs="宋体"/>
                <w:color w:val="auto"/>
                <w:kern w:val="0"/>
                <w:szCs w:val="21"/>
              </w:rPr>
              <w:br w:type="textWrapping"/>
            </w:r>
            <w:r>
              <w:rPr>
                <w:rFonts w:hint="eastAsia" w:ascii="宋体" w:hAnsi="宋体" w:cs="宋体"/>
                <w:color w:val="auto"/>
                <w:kern w:val="0"/>
                <w:szCs w:val="21"/>
              </w:rPr>
              <w:t>（六）合同价款支付方式和条件：设备安装调试好，验收合格后，中标供应商提供全额发票，甲方在收到票据后尽快支付货款。</w:t>
            </w:r>
          </w:p>
          <w:p w14:paraId="7376950C">
            <w:pPr>
              <w:pStyle w:val="3"/>
              <w:rPr>
                <w:rFonts w:hint="eastAsia" w:ascii="宋体" w:hAnsi="宋体" w:cs="宋体"/>
                <w:color w:val="auto"/>
                <w:szCs w:val="21"/>
              </w:rPr>
            </w:pPr>
            <w:r>
              <w:rPr>
                <w:rFonts w:hint="eastAsia" w:ascii="宋体" w:hAnsi="宋体" w:cs="宋体"/>
                <w:color w:val="auto"/>
                <w:kern w:val="0"/>
                <w:szCs w:val="21"/>
              </w:rPr>
              <w:t>（七）违约责任:甲乙双方一方违约，不执行、不遵守合同约定条款，且在另一方发出通知后的15天内仍未采取弥补措施的，另一方有权单方面解除本合同，并要求违约方承违约金，如违约金金额低于实际损失的，违约方必须另外予以补偿。</w:t>
            </w:r>
            <w:r>
              <w:rPr>
                <w:rFonts w:hint="eastAsia" w:ascii="宋体" w:hAnsi="宋体" w:cs="宋体"/>
                <w:color w:val="auto"/>
                <w:kern w:val="0"/>
                <w:szCs w:val="21"/>
              </w:rPr>
              <w:br w:type="textWrapping"/>
            </w:r>
            <w:r>
              <w:rPr>
                <w:rFonts w:hint="eastAsia" w:ascii="宋体" w:hAnsi="宋体" w:cs="宋体"/>
                <w:color w:val="auto"/>
                <w:kern w:val="0"/>
                <w:szCs w:val="21"/>
              </w:rPr>
              <w:t>（八）解决争议的方式 : 向甲方所在地人民法院提起诉讼</w:t>
            </w:r>
            <w:r>
              <w:rPr>
                <w:rFonts w:hint="eastAsia" w:ascii="宋体" w:hAnsi="宋体" w:cs="宋体"/>
                <w:color w:val="auto"/>
                <w:kern w:val="0"/>
                <w:szCs w:val="21"/>
              </w:rPr>
              <w:br w:type="textWrapping"/>
            </w:r>
            <w:r>
              <w:rPr>
                <w:rFonts w:hint="eastAsia" w:ascii="宋体" w:hAnsi="宋体" w:cs="宋体"/>
                <w:color w:val="auto"/>
                <w:kern w:val="0"/>
                <w:szCs w:val="21"/>
              </w:rPr>
              <w:t>（九）其他未尽事项由甲乙双方协商解决。</w:t>
            </w:r>
          </w:p>
        </w:tc>
      </w:tr>
      <w:tr w14:paraId="7BD31498">
        <w:tblPrEx>
          <w:tblCellMar>
            <w:top w:w="0" w:type="dxa"/>
            <w:left w:w="108" w:type="dxa"/>
            <w:bottom w:w="0" w:type="dxa"/>
            <w:right w:w="108" w:type="dxa"/>
          </w:tblCellMar>
        </w:tblPrEx>
        <w:trPr>
          <w:trHeight w:val="563" w:hRule="atLeast"/>
          <w:jc w:val="center"/>
        </w:trPr>
        <w:tc>
          <w:tcPr>
            <w:tcW w:w="1856" w:type="dxa"/>
            <w:tcBorders>
              <w:top w:val="nil"/>
              <w:left w:val="single" w:color="auto" w:sz="4" w:space="0"/>
              <w:bottom w:val="single" w:color="auto" w:sz="4" w:space="0"/>
              <w:right w:val="single" w:color="auto" w:sz="4" w:space="0"/>
            </w:tcBorders>
            <w:vAlign w:val="center"/>
          </w:tcPr>
          <w:p w14:paraId="28335568">
            <w:pPr>
              <w:widowControl/>
              <w:jc w:val="left"/>
              <w:rPr>
                <w:rFonts w:hint="eastAsia" w:ascii="宋体" w:hAnsi="宋体" w:cs="宋体"/>
                <w:color w:val="auto"/>
                <w:kern w:val="0"/>
                <w:szCs w:val="21"/>
              </w:rPr>
            </w:pPr>
            <w:r>
              <w:rPr>
                <w:rFonts w:hint="eastAsia" w:ascii="宋体" w:hAnsi="宋体" w:cs="宋体"/>
                <w:color w:val="auto"/>
                <w:kern w:val="0"/>
                <w:szCs w:val="21"/>
              </w:rPr>
              <w:t>5.其它需要说明的事项</w:t>
            </w:r>
          </w:p>
        </w:tc>
        <w:tc>
          <w:tcPr>
            <w:tcW w:w="7515" w:type="dxa"/>
            <w:tcBorders>
              <w:top w:val="nil"/>
              <w:left w:val="nil"/>
              <w:bottom w:val="single" w:color="auto" w:sz="4" w:space="0"/>
              <w:right w:val="single" w:color="auto" w:sz="4" w:space="0"/>
            </w:tcBorders>
            <w:vAlign w:val="center"/>
          </w:tcPr>
          <w:p w14:paraId="69E03E5E">
            <w:pPr>
              <w:widowControl/>
              <w:jc w:val="left"/>
              <w:rPr>
                <w:rFonts w:hint="eastAsia" w:ascii="宋体" w:hAnsi="宋体" w:cs="宋体"/>
                <w:color w:val="auto"/>
                <w:kern w:val="0"/>
                <w:szCs w:val="21"/>
              </w:rPr>
            </w:pPr>
            <w:r>
              <w:rPr>
                <w:rFonts w:hint="eastAsia" w:ascii="宋体" w:hAnsi="宋体" w:cs="宋体"/>
                <w:color w:val="auto"/>
                <w:kern w:val="0"/>
                <w:szCs w:val="21"/>
              </w:rPr>
              <w:t>如上述包技术参数中有明确的商务要求，以具体包件中的参数要求为准。</w:t>
            </w:r>
          </w:p>
        </w:tc>
      </w:tr>
    </w:tbl>
    <w:p w14:paraId="39A49D89">
      <w:pPr>
        <w:jc w:val="left"/>
        <w:rPr>
          <w:rFonts w:hint="eastAsia" w:ascii="宋体" w:hAnsi="宋体" w:eastAsia="宋体"/>
          <w:b/>
          <w:color w:val="auto"/>
          <w:szCs w:val="21"/>
        </w:rPr>
      </w:pPr>
    </w:p>
    <w:p w14:paraId="075A4F85">
      <w:pPr>
        <w:jc w:val="left"/>
        <w:rPr>
          <w:rFonts w:hint="eastAsia" w:ascii="宋体" w:hAnsi="宋体" w:eastAsia="宋体"/>
          <w:color w:val="auto"/>
          <w:szCs w:val="21"/>
        </w:rPr>
      </w:pPr>
    </w:p>
    <w:p w14:paraId="4761108A">
      <w:pPr>
        <w:jc w:val="left"/>
        <w:rPr>
          <w:rFonts w:hint="eastAsia" w:ascii="宋体" w:hAnsi="宋体" w:eastAsia="宋体"/>
          <w:color w:val="auto"/>
          <w:szCs w:val="21"/>
        </w:rPr>
      </w:pPr>
    </w:p>
    <w:p w14:paraId="5919FD0D">
      <w:pPr>
        <w:jc w:val="left"/>
        <w:rPr>
          <w:rFonts w:hint="eastAsia" w:ascii="宋体" w:hAnsi="宋体" w:eastAsia="宋体"/>
          <w:color w:val="auto"/>
          <w:szCs w:val="21"/>
        </w:rPr>
      </w:pPr>
    </w:p>
    <w:p w14:paraId="78F90358">
      <w:pPr>
        <w:jc w:val="left"/>
        <w:rPr>
          <w:rFonts w:hint="eastAsia" w:ascii="宋体" w:hAnsi="宋体" w:eastAsia="宋体"/>
          <w:color w:val="auto"/>
          <w:szCs w:val="21"/>
        </w:rPr>
      </w:pPr>
    </w:p>
    <w:p w14:paraId="2E399EBA">
      <w:pPr>
        <w:jc w:val="left"/>
        <w:rPr>
          <w:rFonts w:hint="eastAsia" w:ascii="宋体" w:hAnsi="宋体" w:eastAsia="宋体"/>
          <w:color w:val="auto"/>
          <w:szCs w:val="21"/>
        </w:rPr>
      </w:pPr>
    </w:p>
    <w:p w14:paraId="289DE3C4">
      <w:pPr>
        <w:jc w:val="left"/>
        <w:rPr>
          <w:rFonts w:hint="eastAsia" w:ascii="宋体" w:hAnsi="宋体" w:eastAsia="宋体"/>
          <w:color w:val="auto"/>
          <w:szCs w:val="21"/>
        </w:rPr>
      </w:pPr>
    </w:p>
    <w:p w14:paraId="7BA41250">
      <w:pPr>
        <w:rPr>
          <w:rFonts w:hint="eastAsia" w:ascii="宋体" w:hAnsi="宋体" w:eastAsia="宋体"/>
          <w:b/>
          <w:color w:val="auto"/>
          <w:sz w:val="28"/>
          <w:szCs w:val="28"/>
        </w:rPr>
      </w:pPr>
      <w:r>
        <w:rPr>
          <w:rFonts w:hint="eastAsia" w:ascii="宋体" w:hAnsi="宋体" w:eastAsia="宋体"/>
          <w:b/>
          <w:color w:val="auto"/>
          <w:sz w:val="28"/>
          <w:szCs w:val="28"/>
        </w:rPr>
        <w:br w:type="page"/>
      </w:r>
    </w:p>
    <w:p w14:paraId="77ECE392">
      <w:pPr>
        <w:jc w:val="center"/>
        <w:rPr>
          <w:rFonts w:hint="eastAsia" w:ascii="宋体" w:hAnsi="宋体" w:eastAsia="宋体"/>
          <w:b/>
          <w:color w:val="auto"/>
          <w:sz w:val="28"/>
          <w:szCs w:val="28"/>
        </w:rPr>
      </w:pPr>
      <w:r>
        <w:rPr>
          <w:rFonts w:hint="eastAsia" w:ascii="宋体" w:hAnsi="宋体" w:eastAsia="宋体"/>
          <w:b/>
          <w:color w:val="auto"/>
          <w:sz w:val="28"/>
          <w:szCs w:val="28"/>
        </w:rPr>
        <w:t>第六章  比价办法</w:t>
      </w:r>
    </w:p>
    <w:p w14:paraId="6A764B56">
      <w:pPr>
        <w:ind w:firstLine="420" w:firstLineChars="200"/>
        <w:jc w:val="left"/>
        <w:rPr>
          <w:rFonts w:hint="eastAsia" w:ascii="宋体" w:hAnsi="宋体" w:eastAsia="宋体"/>
          <w:color w:val="auto"/>
          <w:szCs w:val="21"/>
        </w:rPr>
      </w:pPr>
      <w:r>
        <w:rPr>
          <w:rFonts w:hint="eastAsia" w:ascii="宋体" w:hAnsi="宋体" w:eastAsia="宋体"/>
          <w:color w:val="auto"/>
          <w:szCs w:val="21"/>
        </w:rPr>
        <w:t>一、评标办法：</w:t>
      </w:r>
    </w:p>
    <w:p w14:paraId="1414C135">
      <w:pPr>
        <w:ind w:firstLine="420" w:firstLineChars="200"/>
        <w:jc w:val="left"/>
        <w:rPr>
          <w:rFonts w:hint="eastAsia" w:ascii="宋体" w:hAnsi="宋体" w:eastAsia="宋体"/>
          <w:color w:val="auto"/>
          <w:szCs w:val="21"/>
        </w:rPr>
      </w:pPr>
      <w:r>
        <w:rPr>
          <w:rFonts w:hint="eastAsia" w:ascii="宋体" w:hAnsi="宋体" w:eastAsia="宋体"/>
          <w:color w:val="auto"/>
          <w:szCs w:val="21"/>
        </w:rPr>
        <w:t>1.低价中标方式：报价最低价中标</w:t>
      </w:r>
    </w:p>
    <w:p w14:paraId="78D788A6">
      <w:pPr>
        <w:ind w:firstLine="420" w:firstLineChars="200"/>
        <w:jc w:val="left"/>
        <w:rPr>
          <w:rFonts w:hint="eastAsia" w:ascii="宋体" w:hAnsi="宋体" w:eastAsia="宋体"/>
          <w:color w:val="auto"/>
          <w:szCs w:val="21"/>
        </w:rPr>
      </w:pPr>
      <w:r>
        <w:rPr>
          <w:rFonts w:hint="eastAsia" w:ascii="宋体" w:hAnsi="宋体" w:eastAsia="宋体"/>
          <w:color w:val="auto"/>
          <w:szCs w:val="21"/>
        </w:rPr>
        <w:t>2、 废 标</w:t>
      </w:r>
    </w:p>
    <w:p w14:paraId="44CBB1BE">
      <w:pPr>
        <w:ind w:firstLine="420" w:firstLineChars="200"/>
        <w:jc w:val="left"/>
        <w:rPr>
          <w:rFonts w:hint="eastAsia" w:ascii="宋体" w:hAnsi="宋体" w:eastAsia="宋体"/>
          <w:color w:val="auto"/>
          <w:szCs w:val="21"/>
        </w:rPr>
      </w:pPr>
      <w:r>
        <w:rPr>
          <w:rFonts w:hint="eastAsia" w:ascii="宋体" w:hAnsi="宋体" w:eastAsia="宋体"/>
          <w:color w:val="auto"/>
          <w:szCs w:val="21"/>
        </w:rPr>
        <w:t>2.1本次采购安装活动中，出现下列情形之一的，予以废标：</w:t>
      </w:r>
    </w:p>
    <w:p w14:paraId="39F53D19">
      <w:pPr>
        <w:ind w:firstLine="420" w:firstLineChars="200"/>
        <w:jc w:val="left"/>
        <w:rPr>
          <w:rFonts w:hint="eastAsia" w:ascii="宋体" w:hAnsi="宋体" w:eastAsia="宋体"/>
          <w:color w:val="auto"/>
          <w:szCs w:val="21"/>
        </w:rPr>
      </w:pPr>
      <w:r>
        <w:rPr>
          <w:rFonts w:hint="eastAsia" w:ascii="宋体" w:hAnsi="宋体" w:eastAsia="宋体"/>
          <w:color w:val="auto"/>
          <w:szCs w:val="21"/>
        </w:rPr>
        <w:t>（1）符合专业条件的供应商或者对招标文件作实质响应的供应商不足三家的；</w:t>
      </w:r>
    </w:p>
    <w:p w14:paraId="52C49650">
      <w:pPr>
        <w:ind w:firstLine="420" w:firstLineChars="200"/>
        <w:jc w:val="left"/>
        <w:rPr>
          <w:rFonts w:hint="eastAsia" w:ascii="宋体" w:hAnsi="宋体" w:eastAsia="宋体"/>
          <w:color w:val="auto"/>
          <w:szCs w:val="21"/>
        </w:rPr>
      </w:pPr>
      <w:r>
        <w:rPr>
          <w:rFonts w:hint="eastAsia" w:ascii="宋体" w:hAnsi="宋体" w:eastAsia="宋体"/>
          <w:color w:val="auto"/>
          <w:szCs w:val="21"/>
        </w:rPr>
        <w:t>（2）出现影响采购公正的违法、违规行为的；</w:t>
      </w:r>
    </w:p>
    <w:p w14:paraId="5F1F3E02">
      <w:pPr>
        <w:ind w:firstLine="420" w:firstLineChars="200"/>
        <w:jc w:val="left"/>
        <w:rPr>
          <w:rFonts w:hint="eastAsia" w:ascii="宋体" w:hAnsi="宋体" w:eastAsia="宋体"/>
          <w:color w:val="auto"/>
          <w:szCs w:val="21"/>
        </w:rPr>
      </w:pPr>
      <w:r>
        <w:rPr>
          <w:rFonts w:hint="eastAsia" w:ascii="宋体" w:hAnsi="宋体" w:eastAsia="宋体"/>
          <w:color w:val="auto"/>
          <w:szCs w:val="21"/>
        </w:rPr>
        <w:t>（3）投标人的报价均超过了采购预算，采购人不能支付的；</w:t>
      </w:r>
    </w:p>
    <w:p w14:paraId="795185D5">
      <w:pPr>
        <w:ind w:firstLine="420" w:firstLineChars="200"/>
        <w:jc w:val="left"/>
        <w:rPr>
          <w:rFonts w:hint="eastAsia" w:ascii="宋体" w:hAnsi="宋体" w:eastAsia="宋体"/>
          <w:color w:val="auto"/>
          <w:szCs w:val="21"/>
        </w:rPr>
      </w:pPr>
      <w:r>
        <w:rPr>
          <w:rFonts w:hint="eastAsia" w:ascii="宋体" w:hAnsi="宋体" w:eastAsia="宋体"/>
          <w:color w:val="auto"/>
          <w:szCs w:val="21"/>
        </w:rPr>
        <w:t>（4）因重大变故，采购任务取消的。</w:t>
      </w:r>
    </w:p>
    <w:p w14:paraId="34EAD2F1">
      <w:pPr>
        <w:ind w:firstLine="420" w:firstLineChars="200"/>
        <w:jc w:val="left"/>
        <w:rPr>
          <w:rFonts w:hint="eastAsia" w:ascii="宋体" w:hAnsi="宋体" w:eastAsia="宋体"/>
          <w:color w:val="auto"/>
          <w:szCs w:val="21"/>
        </w:rPr>
      </w:pPr>
      <w:r>
        <w:rPr>
          <w:rFonts w:hint="eastAsia" w:ascii="宋体" w:hAnsi="宋体" w:eastAsia="宋体"/>
          <w:color w:val="auto"/>
          <w:szCs w:val="21"/>
        </w:rPr>
        <w:t>废标后，中心将在管理平台上公告废标情况。投标人需要知晓导致废标的具体原因和理由的，可以通过书面形式询问采购人。</w:t>
      </w:r>
    </w:p>
    <w:p w14:paraId="307B9947">
      <w:pPr>
        <w:ind w:firstLine="420" w:firstLineChars="200"/>
        <w:jc w:val="left"/>
        <w:rPr>
          <w:rFonts w:ascii="宋体" w:hAnsi="宋体" w:eastAsia="宋体"/>
          <w:color w:val="auto"/>
          <w:szCs w:val="21"/>
        </w:rPr>
      </w:pPr>
      <w:r>
        <w:rPr>
          <w:rFonts w:hint="eastAsia" w:ascii="宋体" w:hAnsi="宋体" w:eastAsia="宋体"/>
          <w:color w:val="auto"/>
          <w:szCs w:val="21"/>
        </w:rPr>
        <w:t>2.2对于比价过程中废标的采购项目，比价工作人员应当对招标文件是否存在倾向性和歧视性、是否存在不合理条款进行论证，并在采购过程记录中书面记录。</w:t>
      </w:r>
    </w:p>
    <w:sectPr>
      <w:footerReference r:id="rId3" w:type="default"/>
      <w:pgSz w:w="11906" w:h="16838"/>
      <w:pgMar w:top="2098" w:right="1588" w:bottom="2098"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A7D1FD-036F-41C0-A31B-F8AEB020E1A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47302A5-002B-40B5-A9D9-736E715EE92E}"/>
  </w:font>
  <w:font w:name="方正小标宋简体">
    <w:panose1 w:val="02000000000000000000"/>
    <w:charset w:val="86"/>
    <w:family w:val="script"/>
    <w:pitch w:val="default"/>
    <w:sig w:usb0="00000001" w:usb1="08000000" w:usb2="00000000" w:usb3="00000000" w:csb0="00040000" w:csb1="00000000"/>
    <w:embedRegular r:id="rId3" w:fontKey="{A0B0ADFB-9097-41CC-871F-B86028F5DA44}"/>
  </w:font>
  <w:font w:name="方正黑体简体">
    <w:panose1 w:val="02000000000000000000"/>
    <w:charset w:val="86"/>
    <w:family w:val="script"/>
    <w:pitch w:val="default"/>
    <w:sig w:usb0="A00002BF" w:usb1="184F6CFA" w:usb2="00000012" w:usb3="00000000" w:csb0="00040001" w:csb1="00000000"/>
    <w:embedRegular r:id="rId4" w:fontKey="{02CEF5FF-FA9E-4C80-8BE3-07BE6E43FB9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63C3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209DF6">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4209DF6">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657070"/>
    <w:multiLevelType w:val="singleLevel"/>
    <w:tmpl w:val="0565707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05A"/>
    <w:rsid w:val="00045460"/>
    <w:rsid w:val="0006110D"/>
    <w:rsid w:val="00073354"/>
    <w:rsid w:val="000C3E35"/>
    <w:rsid w:val="000C40C1"/>
    <w:rsid w:val="00104567"/>
    <w:rsid w:val="00140C51"/>
    <w:rsid w:val="0016096F"/>
    <w:rsid w:val="00184A76"/>
    <w:rsid w:val="001A73E0"/>
    <w:rsid w:val="001E5282"/>
    <w:rsid w:val="001F105A"/>
    <w:rsid w:val="002923BE"/>
    <w:rsid w:val="002D0005"/>
    <w:rsid w:val="0032043A"/>
    <w:rsid w:val="003275C7"/>
    <w:rsid w:val="0035234E"/>
    <w:rsid w:val="00392C07"/>
    <w:rsid w:val="004C3C38"/>
    <w:rsid w:val="004D0C0B"/>
    <w:rsid w:val="00543007"/>
    <w:rsid w:val="00577B39"/>
    <w:rsid w:val="005A4991"/>
    <w:rsid w:val="005B526A"/>
    <w:rsid w:val="005C0029"/>
    <w:rsid w:val="005E0F17"/>
    <w:rsid w:val="006B6BC9"/>
    <w:rsid w:val="006C6E65"/>
    <w:rsid w:val="00880915"/>
    <w:rsid w:val="008915E3"/>
    <w:rsid w:val="009171E1"/>
    <w:rsid w:val="00930F41"/>
    <w:rsid w:val="00951F59"/>
    <w:rsid w:val="009C78DA"/>
    <w:rsid w:val="009F407E"/>
    <w:rsid w:val="00AB216B"/>
    <w:rsid w:val="00AB6DB1"/>
    <w:rsid w:val="00B8346F"/>
    <w:rsid w:val="00BF5CD7"/>
    <w:rsid w:val="00CA1B32"/>
    <w:rsid w:val="00CF699B"/>
    <w:rsid w:val="00EC164A"/>
    <w:rsid w:val="00EE4A52"/>
    <w:rsid w:val="00F3333E"/>
    <w:rsid w:val="00FC3C82"/>
    <w:rsid w:val="02F54508"/>
    <w:rsid w:val="03C954E7"/>
    <w:rsid w:val="08EB62FD"/>
    <w:rsid w:val="0A11484E"/>
    <w:rsid w:val="0CB6771E"/>
    <w:rsid w:val="15D13A63"/>
    <w:rsid w:val="16A073F0"/>
    <w:rsid w:val="18803A64"/>
    <w:rsid w:val="21DB6DF0"/>
    <w:rsid w:val="253A3431"/>
    <w:rsid w:val="25E35426"/>
    <w:rsid w:val="32941548"/>
    <w:rsid w:val="37882811"/>
    <w:rsid w:val="37A231E6"/>
    <w:rsid w:val="45D62702"/>
    <w:rsid w:val="546C746F"/>
    <w:rsid w:val="574F0CB1"/>
    <w:rsid w:val="58BE258E"/>
    <w:rsid w:val="5A147665"/>
    <w:rsid w:val="610D51E2"/>
    <w:rsid w:val="61B31169"/>
    <w:rsid w:val="662135DD"/>
    <w:rsid w:val="6BF31D70"/>
    <w:rsid w:val="6C9A0D9B"/>
    <w:rsid w:val="7EE66242"/>
    <w:rsid w:val="7FAE6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unhideWhenUsed/>
    <w:qFormat/>
    <w:uiPriority w:val="99"/>
    <w:pPr>
      <w:jc w:val="left"/>
    </w:pPr>
  </w:style>
  <w:style w:type="paragraph" w:styleId="4">
    <w:name w:val="Body Text"/>
    <w:qFormat/>
    <w:uiPriority w:val="1"/>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5">
    <w:name w:val="Date"/>
    <w:basedOn w:val="1"/>
    <w:next w:val="1"/>
    <w:link w:val="15"/>
    <w:semiHidden/>
    <w:unhideWhenUsed/>
    <w:qFormat/>
    <w:uiPriority w:val="99"/>
    <w:pPr>
      <w:ind w:left="100" w:leftChars="2500"/>
    </w:p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paragraph" w:customStyle="1" w:styleId="12">
    <w:name w:val="Default"/>
    <w:next w:val="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3">
    <w:name w:val="页眉 Char"/>
    <w:basedOn w:val="10"/>
    <w:link w:val="7"/>
    <w:semiHidden/>
    <w:qFormat/>
    <w:uiPriority w:val="99"/>
    <w:rPr>
      <w:sz w:val="18"/>
      <w:szCs w:val="18"/>
    </w:rPr>
  </w:style>
  <w:style w:type="character" w:customStyle="1" w:styleId="14">
    <w:name w:val="页脚 Char"/>
    <w:basedOn w:val="10"/>
    <w:link w:val="6"/>
    <w:semiHidden/>
    <w:qFormat/>
    <w:uiPriority w:val="99"/>
    <w:rPr>
      <w:sz w:val="18"/>
      <w:szCs w:val="18"/>
    </w:rPr>
  </w:style>
  <w:style w:type="character" w:customStyle="1" w:styleId="15">
    <w:name w:val="日期 Char"/>
    <w:basedOn w:val="10"/>
    <w:link w:val="5"/>
    <w:semiHidden/>
    <w:qFormat/>
    <w:uiPriority w:val="99"/>
  </w:style>
  <w:style w:type="character" w:customStyle="1" w:styleId="16">
    <w:name w:val="批注文字 Char"/>
    <w:link w:val="3"/>
    <w:qFormat/>
    <w:uiPriority w:val="99"/>
  </w:style>
  <w:style w:type="character" w:customStyle="1" w:styleId="17">
    <w:name w:val="批注文字 Char1"/>
    <w:basedOn w:val="10"/>
    <w:link w:val="3"/>
    <w:semiHidden/>
    <w:qFormat/>
    <w:uiPriority w:val="99"/>
  </w:style>
  <w:style w:type="paragraph" w:customStyle="1" w:styleId="18">
    <w:name w:val="Table Text"/>
    <w:basedOn w:val="1"/>
    <w:semiHidden/>
    <w:qFormat/>
    <w:uiPriority w:val="0"/>
    <w:rPr>
      <w:rFonts w:ascii="宋体" w:hAnsi="宋体" w:eastAsia="宋体" w:cs="宋体"/>
      <w:sz w:val="24"/>
      <w:szCs w:val="24"/>
      <w:lang w:val="en-US" w:eastAsia="en-US" w:bidi="ar-SA"/>
    </w:rPr>
  </w:style>
  <w:style w:type="table" w:customStyle="1" w:styleId="1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4462</Words>
  <Characters>4599</Characters>
  <Lines>53</Lines>
  <Paragraphs>15</Paragraphs>
  <TotalTime>132</TotalTime>
  <ScaleCrop>false</ScaleCrop>
  <LinksUpToDate>false</LinksUpToDate>
  <CharactersWithSpaces>5133</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2025-07-21T00:39:00Z</dcterms:created>
  <dc:creator>明宣杜</dc:creator>
  <cp:lastModifiedBy>Administrator</cp:lastModifiedBy>
  <cp:lastPrinted>2025-07-25T01:37:00Z</cp:lastPrinted>
  <dcterms:modified xsi:type="dcterms:W3CDTF">2026-02-04T08:15:08Z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245EBBEC8CBD49F091CEF6E6F105403D_13</vt:lpwstr>
  </property>
  <property fmtid="{D5CDD505-2E9C-101B-9397-08002B2CF9AE}" pid="4" name="KSOTemplateDocerSaveRecord">
    <vt:lpwstr>eyJoZGlkIjoiYmIxZDQ0MTA2NmQzZDFkMjYwNjM5MTc4NGVlODU5NTUiLCJ1c2VySWQiOiIxMTcwNTgyNzgzIn0=</vt:lpwstr>
  </property>
</Properties>
</file>